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90BF" w14:textId="2FFD1461" w:rsid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REQUISITI ECONOMICO FINAZIARI PER PARTECIPARE E ASSENZA DI CONFLITTO DI INTERESSI</w:t>
      </w:r>
    </w:p>
    <w:p w14:paraId="6B13EA32" w14:textId="77777777" w:rsid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413D7A71" w14:textId="77777777" w:rsid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1FED9ABB" w14:textId="77777777" w:rsid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 w:rsidRPr="00EB77CD">
        <w:rPr>
          <w:rFonts w:ascii="Verdana" w:hAnsi="Verdana"/>
          <w:b/>
          <w:bCs/>
          <w:sz w:val="18"/>
          <w:szCs w:val="18"/>
        </w:rPr>
        <w:t>Il possesso dei requisiti di seguito indicati è obbligatorio e la loro mancanza costituisce causa ostativa al successivo invito alla gara.</w:t>
      </w:r>
    </w:p>
    <w:p w14:paraId="6570EC8C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7955B8E5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 w:rsidRPr="00EB77CD">
        <w:rPr>
          <w:rFonts w:ascii="Verdana" w:hAnsi="Verdana"/>
          <w:b/>
          <w:bCs/>
          <w:sz w:val="18"/>
          <w:szCs w:val="18"/>
        </w:rPr>
        <w:t>1. Requisiti Economico-Finanziari e Tecnici</w:t>
      </w:r>
    </w:p>
    <w:p w14:paraId="537E1BC9" w14:textId="77777777" w:rsidR="00EB77CD" w:rsidRPr="00EB77CD" w:rsidRDefault="00EB77CD" w:rsidP="00EB77CD">
      <w:pPr>
        <w:numPr>
          <w:ilvl w:val="1"/>
          <w:numId w:val="5"/>
        </w:numPr>
        <w:tabs>
          <w:tab w:val="clear" w:pos="1440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Ricavi: almeno 70 milioni di euro per singolo esercizio negli ultimi 3 anni.</w:t>
      </w:r>
    </w:p>
    <w:p w14:paraId="27FCC0E4" w14:textId="77777777" w:rsidR="00EB77CD" w:rsidRPr="00EB77CD" w:rsidRDefault="00EB77CD" w:rsidP="00EB77CD">
      <w:pPr>
        <w:numPr>
          <w:ilvl w:val="1"/>
          <w:numId w:val="5"/>
        </w:numPr>
        <w:tabs>
          <w:tab w:val="clear" w:pos="1440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Lavoro di punta: esecuzione negli ultimi 5 anni di un lavoro di costruzione/ristrutturazione di Uffici Direzionali per un valore di almeno 35 milioni di euro.</w:t>
      </w:r>
    </w:p>
    <w:p w14:paraId="2680C09F" w14:textId="77777777" w:rsidR="00EB77CD" w:rsidRPr="00EB77CD" w:rsidRDefault="00EB77CD" w:rsidP="00EB77CD">
      <w:pPr>
        <w:numPr>
          <w:ilvl w:val="1"/>
          <w:numId w:val="5"/>
        </w:numPr>
        <w:tabs>
          <w:tab w:val="clear" w:pos="1440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Solidità patrimoniale: indici PFN/Ebitda ≤ 3.5 e PNF/ricavi ≤ 50%.</w:t>
      </w:r>
    </w:p>
    <w:p w14:paraId="25615F52" w14:textId="77777777" w:rsidR="00EB77CD" w:rsidRPr="00EB77CD" w:rsidRDefault="00EB77CD" w:rsidP="00EB77CD">
      <w:pPr>
        <w:tabs>
          <w:tab w:val="left" w:pos="1191"/>
        </w:tabs>
        <w:ind w:left="567"/>
        <w:jc w:val="both"/>
        <w:rPr>
          <w:rFonts w:ascii="Verdana" w:hAnsi="Verdana"/>
          <w:b/>
          <w:bCs/>
          <w:sz w:val="18"/>
          <w:szCs w:val="18"/>
        </w:rPr>
      </w:pPr>
    </w:p>
    <w:p w14:paraId="71DBE009" w14:textId="2392A43C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 w:rsidRPr="00EB77CD">
        <w:rPr>
          <w:rFonts w:ascii="Verdana" w:hAnsi="Verdana"/>
          <w:b/>
          <w:bCs/>
          <w:sz w:val="18"/>
          <w:szCs w:val="18"/>
        </w:rPr>
        <w:t>2.  Attestazioni e Certificazioni</w:t>
      </w:r>
    </w:p>
    <w:p w14:paraId="1B2EBFFE" w14:textId="77777777" w:rsidR="00EB77CD" w:rsidRPr="00EB77CD" w:rsidRDefault="00EB77CD" w:rsidP="00EB77CD">
      <w:pPr>
        <w:numPr>
          <w:ilvl w:val="1"/>
          <w:numId w:val="6"/>
        </w:numPr>
        <w:tabs>
          <w:tab w:val="clear" w:pos="1440"/>
          <w:tab w:val="num" w:pos="1134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SOA: in corso di validità per le categorie OG1 Classe VI (€ 9.000.000,00), OS 28 Classe VI (€ 8.500.000,00), OS 30 Classe VI (€ 8.000.000,00) e OS18-B Classe VII (€ 11.500.000,00); le attestazioni SOA relative alle categorie OS28 e OS30 possono essere sostituite dall’attestazione in categoria OG11 (impianti tecnologici) Classe VIII (oltre € 15.494.000,00).</w:t>
      </w:r>
    </w:p>
    <w:p w14:paraId="6B883D86" w14:textId="77777777" w:rsidR="00EB77CD" w:rsidRPr="00EB77CD" w:rsidRDefault="00EB77CD" w:rsidP="00EB77CD">
      <w:pPr>
        <w:numPr>
          <w:ilvl w:val="1"/>
          <w:numId w:val="6"/>
        </w:numPr>
        <w:tabs>
          <w:tab w:val="clear" w:pos="1440"/>
          <w:tab w:val="num" w:pos="1134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Certificazioni: possesso delle certificazioni UNI ISO 45001 (Salute e Sicurezza) e UNI EN ISO 14001 (Ambiente) in corso di validità.</w:t>
      </w:r>
    </w:p>
    <w:p w14:paraId="59513B9B" w14:textId="77777777" w:rsidR="00EB77CD" w:rsidRPr="00EB77CD" w:rsidRDefault="00EB77CD" w:rsidP="00EB77CD">
      <w:pPr>
        <w:tabs>
          <w:tab w:val="left" w:pos="1191"/>
        </w:tabs>
        <w:ind w:left="567"/>
        <w:jc w:val="both"/>
        <w:rPr>
          <w:rFonts w:ascii="Verdana" w:hAnsi="Verdana"/>
          <w:b/>
          <w:bCs/>
          <w:sz w:val="18"/>
          <w:szCs w:val="18"/>
        </w:rPr>
      </w:pPr>
    </w:p>
    <w:p w14:paraId="64AD3E1B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 w:rsidRPr="00EB77CD">
        <w:rPr>
          <w:rFonts w:ascii="Verdana" w:hAnsi="Verdana"/>
          <w:b/>
          <w:bCs/>
          <w:sz w:val="18"/>
          <w:szCs w:val="18"/>
        </w:rPr>
        <w:t>3. Appartenenza al Sistema Confindustriale e </w:t>
      </w:r>
      <w:r w:rsidRPr="00EB77CD">
        <w:rPr>
          <w:rFonts w:ascii="Verdana" w:hAnsi="Verdana"/>
          <w:b/>
          <w:bCs/>
          <w:i/>
          <w:iCs/>
          <w:sz w:val="18"/>
          <w:szCs w:val="18"/>
        </w:rPr>
        <w:t>Compliance</w:t>
      </w:r>
    </w:p>
    <w:p w14:paraId="2900FABC" w14:textId="77777777" w:rsidR="00EB77CD" w:rsidRPr="00EB77CD" w:rsidRDefault="00EB77CD" w:rsidP="00EB77CD">
      <w:pPr>
        <w:numPr>
          <w:ilvl w:val="1"/>
          <w:numId w:val="7"/>
        </w:numPr>
        <w:tabs>
          <w:tab w:val="clear" w:pos="1440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Iscrizioni: appartenenza al Sistema Confindustriale da almeno </w:t>
      </w:r>
      <w:proofErr w:type="gramStart"/>
      <w:r w:rsidRPr="00EB77CD">
        <w:rPr>
          <w:rFonts w:ascii="Verdana" w:hAnsi="Verdana"/>
          <w:sz w:val="18"/>
          <w:szCs w:val="18"/>
        </w:rPr>
        <w:t>3</w:t>
      </w:r>
      <w:proofErr w:type="gramEnd"/>
      <w:r w:rsidRPr="00EB77CD">
        <w:rPr>
          <w:rFonts w:ascii="Verdana" w:hAnsi="Verdana"/>
          <w:sz w:val="18"/>
          <w:szCs w:val="18"/>
        </w:rPr>
        <w:t xml:space="preserve"> anni e iscrizione alla White List della Prefettura.</w:t>
      </w:r>
    </w:p>
    <w:p w14:paraId="259FC568" w14:textId="77777777" w:rsidR="00EB77CD" w:rsidRPr="00EB77CD" w:rsidRDefault="00EB77CD" w:rsidP="00EB77CD">
      <w:pPr>
        <w:numPr>
          <w:ilvl w:val="1"/>
          <w:numId w:val="7"/>
        </w:numPr>
        <w:tabs>
          <w:tab w:val="clear" w:pos="1440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Modello di Organizzazione, Gestione e Controllo </w:t>
      </w:r>
      <w:r w:rsidRPr="00EB77CD">
        <w:rPr>
          <w:rFonts w:ascii="Verdana" w:hAnsi="Verdana"/>
          <w:i/>
          <w:iCs/>
          <w:sz w:val="18"/>
          <w:szCs w:val="18"/>
        </w:rPr>
        <w:t>ex</w:t>
      </w:r>
      <w:r w:rsidRPr="00EB77CD">
        <w:rPr>
          <w:rFonts w:ascii="Verdana" w:hAnsi="Verdana"/>
          <w:sz w:val="18"/>
          <w:szCs w:val="18"/>
        </w:rPr>
        <w:t> D. Lgs. 231/01 della società che presenta la manifestazione di interesse: adozione di un Modello di Organizzazione, Gestione e Controllo </w:t>
      </w:r>
      <w:r w:rsidRPr="00EB77CD">
        <w:rPr>
          <w:rFonts w:ascii="Verdana" w:hAnsi="Verdana"/>
          <w:i/>
          <w:iCs/>
          <w:sz w:val="18"/>
          <w:szCs w:val="18"/>
        </w:rPr>
        <w:t>ex</w:t>
      </w:r>
      <w:r w:rsidRPr="00EB77CD">
        <w:rPr>
          <w:rFonts w:ascii="Verdana" w:hAnsi="Verdana"/>
          <w:sz w:val="18"/>
          <w:szCs w:val="18"/>
        </w:rPr>
        <w:t> </w:t>
      </w:r>
      <w:proofErr w:type="spellStart"/>
      <w:r w:rsidRPr="00EB77CD">
        <w:rPr>
          <w:rFonts w:ascii="Verdana" w:hAnsi="Verdana"/>
          <w:sz w:val="18"/>
          <w:szCs w:val="18"/>
        </w:rPr>
        <w:t>D.Lgs.</w:t>
      </w:r>
      <w:proofErr w:type="spellEnd"/>
      <w:r w:rsidRPr="00EB77CD">
        <w:rPr>
          <w:rFonts w:ascii="Verdana" w:hAnsi="Verdana"/>
          <w:sz w:val="18"/>
          <w:szCs w:val="18"/>
        </w:rPr>
        <w:t xml:space="preserve"> 231/01 (MOGC) con nomina dell’</w:t>
      </w:r>
      <w:proofErr w:type="spellStart"/>
      <w:r w:rsidRPr="00EB77CD">
        <w:rPr>
          <w:rFonts w:ascii="Verdana" w:hAnsi="Verdana"/>
          <w:sz w:val="18"/>
          <w:szCs w:val="18"/>
        </w:rPr>
        <w:t>OdV</w:t>
      </w:r>
      <w:proofErr w:type="spellEnd"/>
      <w:r w:rsidRPr="00EB77CD">
        <w:rPr>
          <w:rFonts w:ascii="Verdana" w:hAnsi="Verdana"/>
          <w:sz w:val="18"/>
          <w:szCs w:val="18"/>
        </w:rPr>
        <w:t>.</w:t>
      </w:r>
    </w:p>
    <w:p w14:paraId="7D64E8B7" w14:textId="77777777" w:rsidR="00EB77CD" w:rsidRPr="00EB77CD" w:rsidRDefault="00EB77CD" w:rsidP="00EB77CD">
      <w:pPr>
        <w:numPr>
          <w:ilvl w:val="1"/>
          <w:numId w:val="7"/>
        </w:numPr>
        <w:tabs>
          <w:tab w:val="clear" w:pos="1440"/>
          <w:tab w:val="left" w:pos="1191"/>
        </w:tabs>
        <w:ind w:left="567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Modello di Organizzazione, Gestione e Controllo </w:t>
      </w:r>
      <w:r w:rsidRPr="00EB77CD">
        <w:rPr>
          <w:rFonts w:ascii="Verdana" w:hAnsi="Verdana"/>
          <w:i/>
          <w:iCs/>
          <w:sz w:val="18"/>
          <w:szCs w:val="18"/>
        </w:rPr>
        <w:t>ex</w:t>
      </w:r>
      <w:r w:rsidRPr="00EB77CD">
        <w:rPr>
          <w:rFonts w:ascii="Verdana" w:hAnsi="Verdana"/>
          <w:sz w:val="18"/>
          <w:szCs w:val="18"/>
        </w:rPr>
        <w:t> D. Lgs. 231/01 adottato da Confindustria Servizi S.p.A.: obbligo di assoggettarsi al Modello di Organizzazione, Gestione e Controllo, al Codice Etico e al potere sanzionatorio di Confindustria Servizi S.p.A.</w:t>
      </w:r>
    </w:p>
    <w:p w14:paraId="71B28C82" w14:textId="77777777" w:rsidR="00EB77CD" w:rsidRPr="00EB77CD" w:rsidRDefault="00EB77CD" w:rsidP="00EB77CD">
      <w:pPr>
        <w:tabs>
          <w:tab w:val="left" w:pos="1191"/>
        </w:tabs>
        <w:ind w:left="1440"/>
        <w:jc w:val="both"/>
        <w:rPr>
          <w:rFonts w:ascii="Verdana" w:hAnsi="Verdana"/>
          <w:b/>
          <w:bCs/>
          <w:sz w:val="18"/>
          <w:szCs w:val="18"/>
        </w:rPr>
      </w:pPr>
    </w:p>
    <w:p w14:paraId="2340AEB1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 w:rsidRPr="00EB77CD">
        <w:rPr>
          <w:rFonts w:ascii="Verdana" w:hAnsi="Verdana"/>
          <w:b/>
          <w:bCs/>
          <w:sz w:val="18"/>
          <w:szCs w:val="18"/>
        </w:rPr>
        <w:t> 4. Onorabilità Etico-Professionale e Regolarità Fiscale, Retributiva e Contributiva</w:t>
      </w:r>
    </w:p>
    <w:p w14:paraId="0C9A65E6" w14:textId="77777777" w:rsidR="00EB77CD" w:rsidRPr="00EB77CD" w:rsidRDefault="00EB77CD" w:rsidP="00EB77CD">
      <w:pPr>
        <w:numPr>
          <w:ilvl w:val="1"/>
          <w:numId w:val="8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Fisco: regolarità nel versamento di imposte e tasse (non rilevano irregolarità inferiori a 50.000,00 € e/o accordi e transazioni raggiunte con l’Ente impositore anche per somme superiori).</w:t>
      </w:r>
    </w:p>
    <w:p w14:paraId="1A43D4B1" w14:textId="77777777" w:rsidR="00EB77CD" w:rsidRPr="00EB77CD" w:rsidRDefault="00EB77CD" w:rsidP="00EB77CD">
      <w:pPr>
        <w:numPr>
          <w:ilvl w:val="1"/>
          <w:numId w:val="8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Lavoro: regolarità nel versamento delle retribuzioni, nell’assolvimento degli obblighi tributari (ritenute fiscali), contributivi (contributi INPS) e assistenziali (premi INAIL) relativi al proprio personale dipendente (non rilevano irregolarità inferiori a 50.000,00 € e/o accordi e transazioni raggiunte con l’Ente impositore anche per somme superiori), con DURC/DURF in corso di validità.</w:t>
      </w:r>
    </w:p>
    <w:p w14:paraId="4E9F1872" w14:textId="77777777" w:rsidR="00EB77CD" w:rsidRPr="00EB77CD" w:rsidRDefault="00EB77CD" w:rsidP="00EB77CD">
      <w:pPr>
        <w:tabs>
          <w:tab w:val="left" w:pos="1191"/>
        </w:tabs>
        <w:ind w:left="1440"/>
        <w:jc w:val="both"/>
        <w:rPr>
          <w:rFonts w:ascii="Verdana" w:hAnsi="Verdana"/>
          <w:b/>
          <w:bCs/>
          <w:sz w:val="18"/>
          <w:szCs w:val="18"/>
        </w:rPr>
      </w:pPr>
    </w:p>
    <w:p w14:paraId="2991ADDF" w14:textId="3C93CAE0" w:rsidR="00EB77CD" w:rsidRPr="00EB77CD" w:rsidRDefault="00EB77CD" w:rsidP="00EB77CD">
      <w:p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  <w:u w:val="single"/>
        </w:rPr>
      </w:pPr>
      <w:r w:rsidRPr="00EB77CD">
        <w:rPr>
          <w:rFonts w:ascii="Verdana" w:hAnsi="Verdana"/>
          <w:sz w:val="18"/>
          <w:szCs w:val="18"/>
          <w:u w:val="single"/>
        </w:rPr>
        <w:t>Onorabilità etico professionale:</w:t>
      </w:r>
    </w:p>
    <w:p w14:paraId="54C813E2" w14:textId="77777777" w:rsidR="00EB77CD" w:rsidRPr="00EB77CD" w:rsidRDefault="00EB77CD" w:rsidP="00EB77CD">
      <w:pPr>
        <w:numPr>
          <w:ilvl w:val="1"/>
          <w:numId w:val="9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assenza di procedure concorsuali e/o di procedure di composizione negoziata della crisi di impresa e/o di qualunque situazione equivalente;</w:t>
      </w:r>
    </w:p>
    <w:p w14:paraId="1AAFB712" w14:textId="77777777" w:rsidR="00EB77CD" w:rsidRPr="00EB77CD" w:rsidRDefault="00EB77CD" w:rsidP="00EB77CD">
      <w:pPr>
        <w:numPr>
          <w:ilvl w:val="1"/>
          <w:numId w:val="9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non aver riportato, negli ultimi </w:t>
      </w:r>
      <w:proofErr w:type="gramStart"/>
      <w:r w:rsidRPr="00EB77CD">
        <w:rPr>
          <w:rFonts w:ascii="Verdana" w:hAnsi="Verdana"/>
          <w:sz w:val="18"/>
          <w:szCs w:val="18"/>
        </w:rPr>
        <w:t>5</w:t>
      </w:r>
      <w:proofErr w:type="gramEnd"/>
      <w:r w:rsidRPr="00EB77CD">
        <w:rPr>
          <w:rFonts w:ascii="Verdana" w:hAnsi="Verdana"/>
          <w:sz w:val="18"/>
          <w:szCs w:val="18"/>
        </w:rPr>
        <w:t xml:space="preserve"> anni, sanzioni definitive che abbiano comportato il divieto di contrattare con la P.A.;</w:t>
      </w:r>
    </w:p>
    <w:p w14:paraId="620EEB94" w14:textId="77777777" w:rsidR="00EB77CD" w:rsidRPr="00EB77CD" w:rsidRDefault="00EB77CD" w:rsidP="00EB77CD">
      <w:pPr>
        <w:numPr>
          <w:ilvl w:val="1"/>
          <w:numId w:val="9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assenza di iscrizioni, negli ultimi </w:t>
      </w:r>
      <w:proofErr w:type="gramStart"/>
      <w:r w:rsidRPr="00EB77CD">
        <w:rPr>
          <w:rFonts w:ascii="Verdana" w:hAnsi="Verdana"/>
          <w:sz w:val="18"/>
          <w:szCs w:val="18"/>
        </w:rPr>
        <w:t>5</w:t>
      </w:r>
      <w:proofErr w:type="gramEnd"/>
      <w:r w:rsidRPr="00EB77CD">
        <w:rPr>
          <w:rFonts w:ascii="Verdana" w:hAnsi="Verdana"/>
          <w:sz w:val="18"/>
          <w:szCs w:val="18"/>
        </w:rPr>
        <w:t xml:space="preserve"> anni, nel casellario ANAC per aver presentato false dichiarazioni o falsa documentazione nelle procedure di gara e negli affidamenti dei subappalti;</w:t>
      </w:r>
    </w:p>
    <w:p w14:paraId="717075E3" w14:textId="77777777" w:rsidR="00EB77CD" w:rsidRPr="00EB77CD" w:rsidRDefault="00EB77CD" w:rsidP="00EB77CD">
      <w:pPr>
        <w:numPr>
          <w:ilvl w:val="1"/>
          <w:numId w:val="9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assenza di condanne irrevocabili e/o di sentenze di patteggiamento irrevocabili per reati contro la moralità professionale (previsti quali cause di esclusione automatica dall’art. 94 del Codice Appalti);</w:t>
      </w:r>
    </w:p>
    <w:p w14:paraId="02677F9A" w14:textId="77777777" w:rsidR="00EB77CD" w:rsidRPr="00EB77CD" w:rsidRDefault="00EB77CD" w:rsidP="00EB77CD">
      <w:pPr>
        <w:numPr>
          <w:ilvl w:val="1"/>
          <w:numId w:val="9"/>
        </w:numPr>
        <w:tabs>
          <w:tab w:val="clear" w:pos="1440"/>
          <w:tab w:val="num" w:pos="1134"/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assenza negli ultimi </w:t>
      </w:r>
      <w:proofErr w:type="gramStart"/>
      <w:r w:rsidRPr="00EB77CD">
        <w:rPr>
          <w:rFonts w:ascii="Verdana" w:hAnsi="Verdana"/>
          <w:sz w:val="18"/>
          <w:szCs w:val="18"/>
        </w:rPr>
        <w:t>3</w:t>
      </w:r>
      <w:proofErr w:type="gramEnd"/>
      <w:r w:rsidRPr="00EB77CD">
        <w:rPr>
          <w:rFonts w:ascii="Verdana" w:hAnsi="Verdana"/>
          <w:sz w:val="18"/>
          <w:szCs w:val="18"/>
        </w:rPr>
        <w:t xml:space="preserve"> anni di condanne irrevocabili e/o di sentenze di patteggiamento irrevocabili per i reati previsti e disciplinati dal D. Lgs. 231/01.</w:t>
      </w:r>
    </w:p>
    <w:p w14:paraId="408C8DD3" w14:textId="77777777" w:rsidR="00EB77CD" w:rsidRPr="00EB77CD" w:rsidRDefault="00EB77CD" w:rsidP="00EB77CD">
      <w:pPr>
        <w:tabs>
          <w:tab w:val="left" w:pos="1191"/>
        </w:tabs>
        <w:ind w:left="1440"/>
        <w:jc w:val="both"/>
        <w:rPr>
          <w:rFonts w:ascii="Verdana" w:hAnsi="Verdana"/>
          <w:sz w:val="18"/>
          <w:szCs w:val="18"/>
        </w:rPr>
      </w:pPr>
    </w:p>
    <w:p w14:paraId="5796ED6B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Nota per i RTI: i requisiti delle categorie SOA, i ricavi da 70 mln e il lavoro di punta da 35 mln possono essere posseduti dal RTI </w:t>
      </w:r>
      <w:r w:rsidRPr="00EB77CD">
        <w:rPr>
          <w:rFonts w:ascii="Verdana" w:hAnsi="Verdana"/>
          <w:i/>
          <w:iCs/>
          <w:sz w:val="18"/>
          <w:szCs w:val="18"/>
        </w:rPr>
        <w:t>nel suo complesso</w:t>
      </w:r>
      <w:r w:rsidRPr="00EB77CD">
        <w:rPr>
          <w:rFonts w:ascii="Verdana" w:hAnsi="Verdana"/>
          <w:sz w:val="18"/>
          <w:szCs w:val="18"/>
        </w:rPr>
        <w:t>. Per quanto concerne il requisito di solidità patrimoniale di cui al punto II.1 si specifica come il requisito debba essere posseduto dalla mandataria e dalle mandanti che rappresentino almeno il 70% delle complessive quote di partecipazione del RTI medesimo. Gli altri requisiti devono essere soddisfatti da </w:t>
      </w:r>
      <w:r w:rsidRPr="00EB77CD">
        <w:rPr>
          <w:rFonts w:ascii="Verdana" w:hAnsi="Verdana"/>
          <w:i/>
          <w:iCs/>
          <w:sz w:val="18"/>
          <w:szCs w:val="18"/>
        </w:rPr>
        <w:t>ogni singolo operatore economico partecipante</w:t>
      </w:r>
      <w:r w:rsidRPr="00EB77CD">
        <w:rPr>
          <w:rFonts w:ascii="Verdana" w:hAnsi="Verdana"/>
          <w:sz w:val="18"/>
          <w:szCs w:val="18"/>
        </w:rPr>
        <w:t>.</w:t>
      </w:r>
    </w:p>
    <w:p w14:paraId="6047A988" w14:textId="77777777" w:rsid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</w:p>
    <w:p w14:paraId="1814D7E5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</w:p>
    <w:p w14:paraId="541EFDBC" w14:textId="6D49C27B" w:rsid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5. </w:t>
      </w:r>
      <w:r w:rsidRPr="00EB77CD">
        <w:rPr>
          <w:rFonts w:ascii="Verdana" w:hAnsi="Verdana"/>
          <w:b/>
          <w:bCs/>
          <w:sz w:val="18"/>
          <w:szCs w:val="18"/>
        </w:rPr>
        <w:t>Conflitto di Interessi e Tracciabilità</w:t>
      </w:r>
    </w:p>
    <w:p w14:paraId="43F8FA4D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Per garantire l’assenza di situazioni di conflitto d’interesse e la massima trasparenza del processo selettivo, si applicano le seguenti disposizioni:</w:t>
      </w:r>
    </w:p>
    <w:p w14:paraId="41A7301E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</w:p>
    <w:p w14:paraId="45EDC810" w14:textId="77777777" w:rsidR="00EB77CD" w:rsidRPr="00EB77CD" w:rsidRDefault="00EB77CD" w:rsidP="00EB77CD">
      <w:pPr>
        <w:numPr>
          <w:ilvl w:val="1"/>
          <w:numId w:val="10"/>
        </w:numPr>
        <w:tabs>
          <w:tab w:val="clear" w:pos="1440"/>
          <w:tab w:val="num" w:pos="1134"/>
          <w:tab w:val="left" w:pos="1191"/>
        </w:tabs>
        <w:ind w:left="284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Cause Ostative (Esclusione Automatica): non avere, né avere avuto negli ultimi 3 anni, il Legale Rappresentante, l’Amministratore Delegato, il Direttore Generale, coloro che hanno poteri di </w:t>
      </w:r>
      <w:r w:rsidRPr="00EB77CD">
        <w:rPr>
          <w:rFonts w:ascii="Verdana" w:hAnsi="Verdana"/>
          <w:sz w:val="18"/>
          <w:szCs w:val="18"/>
        </w:rPr>
        <w:lastRenderedPageBreak/>
        <w:t>rappresentanza generale della Società e/o i soci rapporti di coniugio, di convivenza, di parentela o affinità fino al secondo grado</w:t>
      </w:r>
      <w:bookmarkStart w:id="0" w:name="_ftnref1"/>
      <w:r w:rsidRPr="00EB77CD">
        <w:rPr>
          <w:rFonts w:ascii="Verdana" w:hAnsi="Verdana"/>
          <w:sz w:val="18"/>
          <w:szCs w:val="18"/>
        </w:rPr>
        <w:fldChar w:fldCharType="begin"/>
      </w:r>
      <w:r w:rsidRPr="00EB77CD">
        <w:rPr>
          <w:rFonts w:ascii="Verdana" w:hAnsi="Verdana"/>
          <w:sz w:val="18"/>
          <w:szCs w:val="18"/>
        </w:rPr>
        <w:instrText>HYPERLINK "https://www.confindustria.it/gara-appalto-palazzo/" \l "_ftn1"</w:instrText>
      </w:r>
      <w:r w:rsidRPr="00EB77CD">
        <w:rPr>
          <w:rFonts w:ascii="Verdana" w:hAnsi="Verdana"/>
          <w:sz w:val="18"/>
          <w:szCs w:val="18"/>
        </w:rPr>
      </w:r>
      <w:r w:rsidRPr="00EB77CD">
        <w:rPr>
          <w:rFonts w:ascii="Verdana" w:hAnsi="Verdana"/>
          <w:sz w:val="18"/>
          <w:szCs w:val="18"/>
        </w:rPr>
        <w:fldChar w:fldCharType="separate"/>
      </w:r>
      <w:r w:rsidRPr="00EB77CD">
        <w:rPr>
          <w:rStyle w:val="Collegamentoipertestuale"/>
          <w:rFonts w:ascii="Verdana" w:hAnsi="Verdana"/>
          <w:sz w:val="18"/>
          <w:szCs w:val="18"/>
        </w:rPr>
        <w:t>[1]</w:t>
      </w:r>
      <w:r w:rsidRPr="00EB77CD">
        <w:rPr>
          <w:rFonts w:ascii="Verdana" w:hAnsi="Verdana"/>
          <w:sz w:val="18"/>
          <w:szCs w:val="18"/>
        </w:rPr>
        <w:fldChar w:fldCharType="end"/>
      </w:r>
      <w:bookmarkEnd w:id="0"/>
      <w:r w:rsidRPr="00EB77CD">
        <w:rPr>
          <w:rFonts w:ascii="Verdana" w:hAnsi="Verdana"/>
          <w:sz w:val="18"/>
          <w:szCs w:val="18"/>
        </w:rPr>
        <w:t xml:space="preserve"> con i membri del </w:t>
      </w:r>
      <w:proofErr w:type="spellStart"/>
      <w:r w:rsidRPr="00EB77CD">
        <w:rPr>
          <w:rFonts w:ascii="Verdana" w:hAnsi="Verdana"/>
          <w:sz w:val="18"/>
          <w:szCs w:val="18"/>
        </w:rPr>
        <w:t>CdA</w:t>
      </w:r>
      <w:proofErr w:type="spellEnd"/>
      <w:r w:rsidRPr="00EB77CD">
        <w:rPr>
          <w:rFonts w:ascii="Verdana" w:hAnsi="Verdana"/>
          <w:sz w:val="18"/>
          <w:szCs w:val="18"/>
        </w:rPr>
        <w:t xml:space="preserve"> di Confindustria Servizi S.p.A., con il Direttore Generale di Confindustria e/o con i membri e/o con i partecipanti (ivi inclusi </w:t>
      </w:r>
      <w:r w:rsidRPr="00EB77CD">
        <w:rPr>
          <w:rFonts w:ascii="Verdana" w:hAnsi="Verdana"/>
          <w:i/>
          <w:iCs/>
          <w:sz w:val="18"/>
          <w:szCs w:val="18"/>
        </w:rPr>
        <w:t>special advisor</w:t>
      </w:r>
      <w:r w:rsidRPr="00EB77CD">
        <w:rPr>
          <w:rFonts w:ascii="Verdana" w:hAnsi="Verdana"/>
          <w:sz w:val="18"/>
          <w:szCs w:val="18"/>
        </w:rPr>
        <w:t> e delegati) del Consiglio di Presidenza di Confindustria.</w:t>
      </w:r>
    </w:p>
    <w:p w14:paraId="165A2E5D" w14:textId="77777777" w:rsidR="00EB77CD" w:rsidRPr="00EB77CD" w:rsidRDefault="00EB77CD" w:rsidP="00EB77CD">
      <w:pPr>
        <w:tabs>
          <w:tab w:val="left" w:pos="1191"/>
        </w:tabs>
        <w:ind w:left="284"/>
        <w:jc w:val="both"/>
        <w:rPr>
          <w:rFonts w:ascii="Verdana" w:hAnsi="Verdana"/>
          <w:sz w:val="18"/>
          <w:szCs w:val="18"/>
        </w:rPr>
      </w:pPr>
    </w:p>
    <w:p w14:paraId="4E20ED7F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La sussistenza di Cause Ostative non consente di partecipare alla procedura e, quindi, la Commissione valutatrice non inviterà gli operatori economici che versino in una delle descritte situazioni.</w:t>
      </w:r>
    </w:p>
    <w:p w14:paraId="59C8BBE0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</w:p>
    <w:p w14:paraId="6043F940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Sempre al fine di assicurare la massima trasparenza, sussiste l’obbligo di rendere le seguenti Dichiarazioni di Trasparenza (Soggette a Valutazione da parte della Commissione):</w:t>
      </w:r>
    </w:p>
    <w:p w14:paraId="2ABDFD78" w14:textId="77777777" w:rsidR="00EB77CD" w:rsidRPr="00EB77CD" w:rsidRDefault="00EB77CD" w:rsidP="00EB77CD">
      <w:p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</w:p>
    <w:p w14:paraId="55B1A9AD" w14:textId="77777777" w:rsidR="00EB77CD" w:rsidRPr="00EB77CD" w:rsidRDefault="00EB77CD" w:rsidP="00EB77CD">
      <w:pPr>
        <w:numPr>
          <w:ilvl w:val="1"/>
          <w:numId w:val="11"/>
        </w:num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eventuali rapporti finanziari, contrattuali, commerciali o di collaborazione professionale, intrattenuti dalla Società, dal Legale Rappresentante, dall’Amministratore Delegato, dai membri del </w:t>
      </w:r>
      <w:proofErr w:type="spellStart"/>
      <w:r w:rsidRPr="00EB77CD">
        <w:rPr>
          <w:rFonts w:ascii="Verdana" w:hAnsi="Verdana"/>
          <w:sz w:val="18"/>
          <w:szCs w:val="18"/>
        </w:rPr>
        <w:t>CdA</w:t>
      </w:r>
      <w:proofErr w:type="spellEnd"/>
      <w:r w:rsidRPr="00EB77CD">
        <w:rPr>
          <w:rFonts w:ascii="Verdana" w:hAnsi="Verdana"/>
          <w:sz w:val="18"/>
          <w:szCs w:val="18"/>
        </w:rPr>
        <w:t xml:space="preserve"> di tale Società, e/o dalle società da essi possedute, partecipate e/o amministrate, negli ultimi 3 anni, che abbiano portato ad una somma pari o superiore a 15 milioni di fatturato, con Confindustria Servizi S.p.A., con il Direttore Generale di Confindustria e/o con le società possedute, partecipate e/o amministrate dai membri e/o dai partecipanti (ivi inclusi </w:t>
      </w:r>
      <w:r w:rsidRPr="00EB77CD">
        <w:rPr>
          <w:rFonts w:ascii="Verdana" w:hAnsi="Verdana"/>
          <w:i/>
          <w:iCs/>
          <w:sz w:val="18"/>
          <w:szCs w:val="18"/>
        </w:rPr>
        <w:t>special advisor</w:t>
      </w:r>
      <w:r w:rsidRPr="00EB77CD">
        <w:rPr>
          <w:rFonts w:ascii="Verdana" w:hAnsi="Verdana"/>
          <w:sz w:val="18"/>
          <w:szCs w:val="18"/>
        </w:rPr>
        <w:t> e delegati) del Consiglio di Presidenza di Confindustria. Nel caso in cui sia il RTI a presentare la manifestazione di interesse, il RTI nel suo complesso non deve aver prodotto tale fatturato;</w:t>
      </w:r>
    </w:p>
    <w:p w14:paraId="1BC73DD2" w14:textId="77777777" w:rsidR="00EB77CD" w:rsidRPr="00EB77CD" w:rsidRDefault="00EB77CD" w:rsidP="00EB77CD">
      <w:pPr>
        <w:numPr>
          <w:ilvl w:val="1"/>
          <w:numId w:val="11"/>
        </w:num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eventuali rapporti finanziari, contrattuali, commerciali o di collaborazione professionale, intrattenuti dalla Società, dal Legale Rappresentante, dall’Amministratore Delegato o dai membri del </w:t>
      </w:r>
      <w:proofErr w:type="spellStart"/>
      <w:r w:rsidRPr="00EB77CD">
        <w:rPr>
          <w:rFonts w:ascii="Verdana" w:hAnsi="Verdana"/>
          <w:sz w:val="18"/>
          <w:szCs w:val="18"/>
        </w:rPr>
        <w:t>CdA</w:t>
      </w:r>
      <w:proofErr w:type="spellEnd"/>
      <w:r w:rsidRPr="00EB77CD">
        <w:rPr>
          <w:rFonts w:ascii="Verdana" w:hAnsi="Verdana"/>
          <w:sz w:val="18"/>
          <w:szCs w:val="18"/>
        </w:rPr>
        <w:t xml:space="preserve"> di tale Società, e/o dalle società da essi possedute, partecipate e/o amministrate, negli ultimi 3 anni, che abbiano portato ad una somma inferiore a 15 milioni di fatturato, con Confindustria Servizi S.p.A., con il Direttore Generale di Confindustria e/o con le società possedute, partecipate e/o amministrate dai membri e/o dai partecipanti (ivi inclusi </w:t>
      </w:r>
      <w:r w:rsidRPr="00EB77CD">
        <w:rPr>
          <w:rFonts w:ascii="Verdana" w:hAnsi="Verdana"/>
          <w:i/>
          <w:iCs/>
          <w:sz w:val="18"/>
          <w:szCs w:val="18"/>
        </w:rPr>
        <w:t>special advisor</w:t>
      </w:r>
      <w:r w:rsidRPr="00EB77CD">
        <w:rPr>
          <w:rFonts w:ascii="Verdana" w:hAnsi="Verdana"/>
          <w:sz w:val="18"/>
          <w:szCs w:val="18"/>
        </w:rPr>
        <w:t> e delegati) del Consiglio di Presidenza di Confindustria. Nel caso in cui sia il RTI a presentare la manifestazione di interesse, il RTI nel suo complesso non deve aver prodotto tale fatturato;</w:t>
      </w:r>
    </w:p>
    <w:p w14:paraId="459B7150" w14:textId="77777777" w:rsidR="00EB77CD" w:rsidRPr="00EB77CD" w:rsidRDefault="00EB77CD" w:rsidP="00EB77CD">
      <w:pPr>
        <w:numPr>
          <w:ilvl w:val="1"/>
          <w:numId w:val="11"/>
        </w:num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eventuali contenziosi, arbitrati o vertenze legali tra la Società, il Legale Rappresentante e/o l’Amministratore Delegato e Confindustria Servizi S.p.A. e/o con altre società del Sistema Confindustriale;</w:t>
      </w:r>
    </w:p>
    <w:p w14:paraId="7756E399" w14:textId="77777777" w:rsidR="00EB77CD" w:rsidRPr="00EB77CD" w:rsidRDefault="00EB77CD" w:rsidP="00EB77CD">
      <w:pPr>
        <w:numPr>
          <w:ilvl w:val="1"/>
          <w:numId w:val="11"/>
        </w:num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 xml:space="preserve">eventuali sponsorizzazioni e/o erogazioni liberali, negli ultimi </w:t>
      </w:r>
      <w:proofErr w:type="gramStart"/>
      <w:r w:rsidRPr="00EB77CD">
        <w:rPr>
          <w:rFonts w:ascii="Verdana" w:hAnsi="Verdana"/>
          <w:sz w:val="18"/>
          <w:szCs w:val="18"/>
        </w:rPr>
        <w:t>3</w:t>
      </w:r>
      <w:proofErr w:type="gramEnd"/>
      <w:r w:rsidRPr="00EB77CD">
        <w:rPr>
          <w:rFonts w:ascii="Verdana" w:hAnsi="Verdana"/>
          <w:sz w:val="18"/>
          <w:szCs w:val="18"/>
        </w:rPr>
        <w:t xml:space="preserve"> anni, da parte della Società, del Legale Rappresentante o dell’Amministratore Delegato a favore di iniziative promosse direttamente da Confindustria Servizi S.p.A.</w:t>
      </w:r>
    </w:p>
    <w:p w14:paraId="138CB6CA" w14:textId="77777777" w:rsidR="00EB77CD" w:rsidRPr="00EB77CD" w:rsidRDefault="00EB77CD" w:rsidP="00EB77CD">
      <w:pPr>
        <w:tabs>
          <w:tab w:val="left" w:pos="1191"/>
        </w:tabs>
        <w:ind w:left="426"/>
        <w:jc w:val="both"/>
        <w:rPr>
          <w:rFonts w:ascii="Verdana" w:hAnsi="Verdana"/>
          <w:sz w:val="18"/>
          <w:szCs w:val="18"/>
        </w:rPr>
      </w:pPr>
    </w:p>
    <w:p w14:paraId="5B66671B" w14:textId="77777777" w:rsidR="00EB77CD" w:rsidRPr="00EB77CD" w:rsidRDefault="00EB77CD" w:rsidP="00EB77CD">
      <w:pPr>
        <w:tabs>
          <w:tab w:val="left" w:pos="1191"/>
        </w:tabs>
        <w:jc w:val="both"/>
        <w:rPr>
          <w:rFonts w:ascii="Verdana" w:hAnsi="Verdana"/>
          <w:sz w:val="18"/>
          <w:szCs w:val="18"/>
        </w:rPr>
      </w:pPr>
      <w:r w:rsidRPr="00EB77CD">
        <w:rPr>
          <w:rFonts w:ascii="Verdana" w:hAnsi="Verdana"/>
          <w:sz w:val="18"/>
          <w:szCs w:val="18"/>
        </w:rPr>
        <w:t>In relazione alle Dichiarazioni di Trasparenza, la sussistenza di eventuali situazioni ostative alla partecipazione alla procedura sarà verificata dalla Commissione valutatrice.</w:t>
      </w:r>
    </w:p>
    <w:p w14:paraId="03692A1B" w14:textId="77777777" w:rsidR="00EB77CD" w:rsidRDefault="00EB77CD" w:rsidP="00EB77CD">
      <w:pPr>
        <w:tabs>
          <w:tab w:val="left" w:pos="1191"/>
        </w:tabs>
        <w:jc w:val="both"/>
        <w:rPr>
          <w:rFonts w:ascii="Verdana" w:hAnsi="Verdana"/>
          <w:b/>
          <w:bCs/>
          <w:sz w:val="18"/>
          <w:szCs w:val="18"/>
        </w:rPr>
      </w:pPr>
    </w:p>
    <w:sectPr w:rsidR="00EB77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49A"/>
    <w:multiLevelType w:val="multilevel"/>
    <w:tmpl w:val="CC60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146AB"/>
    <w:multiLevelType w:val="multilevel"/>
    <w:tmpl w:val="7E10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303CA1"/>
    <w:multiLevelType w:val="multilevel"/>
    <w:tmpl w:val="423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F225A"/>
    <w:multiLevelType w:val="multilevel"/>
    <w:tmpl w:val="3828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B455E"/>
    <w:multiLevelType w:val="multilevel"/>
    <w:tmpl w:val="C0F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1E4054"/>
    <w:multiLevelType w:val="multilevel"/>
    <w:tmpl w:val="46B2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4D6116"/>
    <w:multiLevelType w:val="multilevel"/>
    <w:tmpl w:val="A02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C322F5"/>
    <w:multiLevelType w:val="multilevel"/>
    <w:tmpl w:val="754C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1C03F0"/>
    <w:multiLevelType w:val="multilevel"/>
    <w:tmpl w:val="881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4C17A8"/>
    <w:multiLevelType w:val="multilevel"/>
    <w:tmpl w:val="70A4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66267"/>
    <w:multiLevelType w:val="multilevel"/>
    <w:tmpl w:val="B772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8718510">
    <w:abstractNumId w:val="7"/>
  </w:num>
  <w:num w:numId="2" w16cid:durableId="2048601427">
    <w:abstractNumId w:val="2"/>
  </w:num>
  <w:num w:numId="3" w16cid:durableId="1387992439">
    <w:abstractNumId w:val="0"/>
  </w:num>
  <w:num w:numId="4" w16cid:durableId="2051689801">
    <w:abstractNumId w:val="4"/>
  </w:num>
  <w:num w:numId="5" w16cid:durableId="1825468026">
    <w:abstractNumId w:val="10"/>
  </w:num>
  <w:num w:numId="6" w16cid:durableId="1601985123">
    <w:abstractNumId w:val="1"/>
  </w:num>
  <w:num w:numId="7" w16cid:durableId="1732266963">
    <w:abstractNumId w:val="8"/>
  </w:num>
  <w:num w:numId="8" w16cid:durableId="700672646">
    <w:abstractNumId w:val="3"/>
  </w:num>
  <w:num w:numId="9" w16cid:durableId="1289362561">
    <w:abstractNumId w:val="9"/>
  </w:num>
  <w:num w:numId="10" w16cid:durableId="603809209">
    <w:abstractNumId w:val="5"/>
  </w:num>
  <w:num w:numId="11" w16cid:durableId="1787888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CD"/>
    <w:rsid w:val="00AB19BE"/>
    <w:rsid w:val="00C24172"/>
    <w:rsid w:val="00CA31B1"/>
    <w:rsid w:val="00CC3B72"/>
    <w:rsid w:val="00E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380B"/>
  <w15:chartTrackingRefBased/>
  <w15:docId w15:val="{B0EF2C9A-AD1B-40FE-839D-B89BD060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7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7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7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7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7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7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7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7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77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77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7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77C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77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1011</Words>
  <Characters>6117</Characters>
  <Application>Microsoft Office Word</Application>
  <DocSecurity>0</DocSecurity>
  <Lines>105</Lines>
  <Paragraphs>43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Ricco Samanta</dc:creator>
  <cp:keywords/>
  <dc:description/>
  <cp:lastModifiedBy>Ricco Samanta</cp:lastModifiedBy>
  <cp:revision>4</cp:revision>
  <dcterms:created xsi:type="dcterms:W3CDTF">2026-06-18T14:55:00Z</dcterms:created>
  <dcterms:modified xsi:type="dcterms:W3CDTF">2026-06-18T15:03:00Z</dcterms:modified>
</cp:coreProperties>
</file>