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A662" w14:textId="0EFB76EA" w:rsidR="00855EEE" w:rsidRPr="000A5058" w:rsidRDefault="00855EEE" w:rsidP="00D87EF7">
      <w:pPr>
        <w:pStyle w:val="Default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0A5058">
        <w:rPr>
          <w:rFonts w:asciiTheme="minorHAnsi" w:hAnsiTheme="minorHAnsi" w:cstheme="minorHAnsi"/>
          <w:b/>
          <w:color w:val="0000FF"/>
          <w:sz w:val="28"/>
          <w:szCs w:val="28"/>
        </w:rPr>
        <w:t>MODULO RACCOLTA DATI SULLE CRITICITÀ</w:t>
      </w:r>
      <w:r w:rsidR="00E32AEB" w:rsidRPr="000A5058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DEGLI</w:t>
      </w:r>
      <w:r w:rsidRPr="000A5058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ITER AUTORIZZATIVI DEI PROGETTI DI BONIFICA SUOLI</w:t>
      </w:r>
    </w:p>
    <w:p w14:paraId="1298B5BA" w14:textId="77777777" w:rsidR="00855EEE" w:rsidRPr="00D87EF7" w:rsidRDefault="00855EEE" w:rsidP="00D87EF7">
      <w:pPr>
        <w:pStyle w:val="Default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37EB7F0C" w14:textId="5EF98634" w:rsidR="00F53AA5" w:rsidRPr="00D87EF7" w:rsidRDefault="00855EEE" w:rsidP="00D87EF7">
      <w:pPr>
        <w:spacing w:after="0"/>
        <w:jc w:val="center"/>
        <w:rPr>
          <w:rFonts w:cstheme="minorHAnsi"/>
        </w:rPr>
      </w:pPr>
      <w:r w:rsidRPr="00D87EF7">
        <w:rPr>
          <w:rFonts w:cstheme="minorHAnsi"/>
          <w:b/>
          <w:bCs/>
          <w:highlight w:val="yellow"/>
        </w:rPr>
        <w:t xml:space="preserve">PROCEDURA </w:t>
      </w:r>
      <w:r w:rsidR="00E32AEB" w:rsidRPr="00D87EF7">
        <w:rPr>
          <w:rFonts w:cstheme="minorHAnsi"/>
          <w:b/>
          <w:bCs/>
          <w:highlight w:val="yellow"/>
        </w:rPr>
        <w:t>ORDINARIA</w:t>
      </w:r>
      <w:r w:rsidRPr="00D87EF7">
        <w:rPr>
          <w:rFonts w:cstheme="minorHAnsi"/>
          <w:b/>
          <w:bCs/>
          <w:highlight w:val="yellow"/>
        </w:rPr>
        <w:t xml:space="preserve"> PER LE OPERAZIONI DI BONIFICA </w:t>
      </w:r>
      <w:r w:rsidRPr="00D87EF7">
        <w:rPr>
          <w:rFonts w:cstheme="minorHAnsi"/>
          <w:highlight w:val="yellow"/>
        </w:rPr>
        <w:t xml:space="preserve">(art. 242 </w:t>
      </w:r>
      <w:proofErr w:type="spellStart"/>
      <w:r w:rsidRPr="00D87EF7">
        <w:rPr>
          <w:rFonts w:cstheme="minorHAnsi"/>
          <w:highlight w:val="yellow"/>
        </w:rPr>
        <w:t>D.Lgs</w:t>
      </w:r>
      <w:proofErr w:type="spellEnd"/>
      <w:r w:rsidRPr="00D87EF7">
        <w:rPr>
          <w:rFonts w:cstheme="minorHAnsi"/>
          <w:highlight w:val="yellow"/>
        </w:rPr>
        <w:t xml:space="preserve"> 152/06 e </w:t>
      </w:r>
      <w:proofErr w:type="spellStart"/>
      <w:r w:rsidRPr="00D87EF7">
        <w:rPr>
          <w:rFonts w:cstheme="minorHAnsi"/>
          <w:highlight w:val="yellow"/>
        </w:rPr>
        <w:t>s.m.i.</w:t>
      </w:r>
      <w:proofErr w:type="spellEnd"/>
      <w:r w:rsidRPr="00D87EF7">
        <w:rPr>
          <w:rFonts w:cstheme="minorHAnsi"/>
          <w:highlight w:val="yellow"/>
        </w:rPr>
        <w:t>)</w:t>
      </w:r>
    </w:p>
    <w:p w14:paraId="259E6BE8" w14:textId="77777777" w:rsidR="00876C30" w:rsidRPr="00D87EF7" w:rsidRDefault="00876C30" w:rsidP="00D87EF7">
      <w:pPr>
        <w:spacing w:after="0"/>
        <w:jc w:val="both"/>
        <w:rPr>
          <w:rFonts w:cstheme="minorHAnsi"/>
        </w:rPr>
      </w:pPr>
    </w:p>
    <w:tbl>
      <w:tblPr>
        <w:tblW w:w="157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2551"/>
        <w:gridCol w:w="5443"/>
        <w:gridCol w:w="1984"/>
      </w:tblGrid>
      <w:tr w:rsidR="00FF0920" w:rsidRPr="00D87EF7" w14:paraId="658BA21B" w14:textId="142CF29C" w:rsidTr="00C13260">
        <w:trPr>
          <w:trHeight w:hRule="exact" w:val="624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CE6AEDE" w14:textId="479F1C5C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ADEMPIMENTO DI LEGGE</w:t>
            </w:r>
          </w:p>
          <w:p w14:paraId="34617908" w14:textId="5C8961AA" w:rsidR="00FF0920" w:rsidRPr="00D87EF7" w:rsidRDefault="00FF0920" w:rsidP="00D87EF7">
            <w:pPr>
              <w:shd w:val="clear" w:color="auto" w:fill="BBE0E3"/>
              <w:jc w:val="center"/>
              <w:rPr>
                <w:rFonts w:cstheme="minorHAnsi"/>
                <w:b/>
                <w:bCs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(FASE)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A6CEC52" w14:textId="77777777" w:rsidR="00FF0920" w:rsidRPr="00D87EF7" w:rsidRDefault="00FF0920" w:rsidP="00D87EF7">
            <w:pPr>
              <w:shd w:val="clear" w:color="auto" w:fill="BBE0E3"/>
              <w:jc w:val="center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TEMPI PREVISTI DALLA NORMATIVA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CBBF1AD" w14:textId="77777777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PROBLEMI RISCONTRATI DALL’IMPRESA</w:t>
            </w:r>
          </w:p>
          <w:p w14:paraId="5FB2B30B" w14:textId="41333F28" w:rsidR="00FF0920" w:rsidRPr="00D87EF7" w:rsidRDefault="00FF0920" w:rsidP="00D87EF7">
            <w:pPr>
              <w:shd w:val="clear" w:color="auto" w:fill="BBE0E3"/>
              <w:jc w:val="center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(specificare)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69BA42B" w14:textId="77777777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UBICAZIONE</w:t>
            </w:r>
          </w:p>
          <w:p w14:paraId="1B63FDA0" w14:textId="3BF5DF03" w:rsidR="00FF0920" w:rsidRPr="00D87EF7" w:rsidRDefault="00FF0920" w:rsidP="00D87EF7">
            <w:pPr>
              <w:shd w:val="clear" w:color="auto" w:fill="BBE0E3"/>
              <w:jc w:val="center"/>
              <w:rPr>
                <w:rFonts w:cstheme="minorHAnsi"/>
                <w:b/>
                <w:bCs/>
                <w:color w:val="FF0000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CANTIERE</w:t>
            </w:r>
          </w:p>
        </w:tc>
      </w:tr>
      <w:tr w:rsidR="00FF0920" w:rsidRPr="00D87EF7" w14:paraId="6CEFB7B9" w14:textId="18B9A9F9" w:rsidTr="00C13260">
        <w:trPr>
          <w:trHeight w:val="1020"/>
        </w:trPr>
        <w:tc>
          <w:tcPr>
            <w:tcW w:w="5726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8D6E257" w14:textId="3EFF6FBE" w:rsidR="00FF0920" w:rsidRPr="00D87EF7" w:rsidRDefault="00FA5158" w:rsidP="00D87EF7">
            <w:pPr>
              <w:shd w:val="clear" w:color="auto" w:fill="BBE0E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Il </w:t>
            </w:r>
            <w:r w:rsidR="00FF0920" w:rsidRPr="00D87EF7">
              <w:rPr>
                <w:rFonts w:cstheme="minorHAnsi"/>
                <w:b/>
                <w:bCs/>
              </w:rPr>
              <w:t xml:space="preserve">Responsabile della contaminazione o proprietario o gestore dell’area </w:t>
            </w:r>
            <w:r>
              <w:rPr>
                <w:rFonts w:cstheme="minorHAnsi"/>
                <w:b/>
                <w:bCs/>
              </w:rPr>
              <w:t xml:space="preserve">deve </w:t>
            </w:r>
            <w:r w:rsidR="00FF0920" w:rsidRPr="00D87EF7">
              <w:rPr>
                <w:rFonts w:cstheme="minorHAnsi"/>
                <w:b/>
                <w:bCs/>
              </w:rPr>
              <w:t>dare comunicazione della potenziale contaminazione ai seguenti Enti: Comune, Provincia, Regione, Prefetto della Provincia</w:t>
            </w:r>
          </w:p>
        </w:tc>
        <w:tc>
          <w:tcPr>
            <w:tcW w:w="2551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6B5F91A" w14:textId="77777777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entro 24 ore dall’episodio di contaminazione</w:t>
            </w:r>
          </w:p>
        </w:tc>
        <w:tc>
          <w:tcPr>
            <w:tcW w:w="544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0266417B" w14:textId="77777777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E435D7D" w14:textId="6605AA61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FF0920" w:rsidRPr="00D87EF7" w14:paraId="4F98B333" w14:textId="7E29EA08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3681311" w14:textId="72EFA7AA" w:rsidR="00FF0920" w:rsidRPr="00D87EF7" w:rsidRDefault="00FA5158" w:rsidP="00D87EF7">
            <w:pPr>
              <w:shd w:val="clear" w:color="auto" w:fill="BBE0E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Il </w:t>
            </w:r>
            <w:r w:rsidR="00FF0920" w:rsidRPr="00D87EF7">
              <w:rPr>
                <w:rFonts w:cstheme="minorHAnsi"/>
                <w:b/>
                <w:bCs/>
              </w:rPr>
              <w:t>Responsabile della contaminazione o proprietario o gestore dell’area presenta il Piano di caratterizzazione (</w:t>
            </w:r>
            <w:proofErr w:type="spellStart"/>
            <w:r w:rsidR="00FF0920" w:rsidRPr="00D87EF7">
              <w:rPr>
                <w:rFonts w:cstheme="minorHAnsi"/>
                <w:b/>
                <w:bCs/>
              </w:rPr>
              <w:t>PdC</w:t>
            </w:r>
            <w:proofErr w:type="spellEnd"/>
            <w:r w:rsidR="00FF0920" w:rsidRPr="00D87EF7">
              <w:rPr>
                <w:rFonts w:cstheme="minorHAnsi"/>
                <w:b/>
                <w:bCs/>
              </w:rPr>
              <w:t>) a Comune, Provincia e ARPA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AB04B85" w14:textId="326E026F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nei successivi 30 gg dalla comunicazione dell’episodio di contaminazione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1923223" w14:textId="77777777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834A3AC" w14:textId="27EAB0ED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FF0920" w:rsidRPr="00D87EF7" w14:paraId="0B12CA8D" w14:textId="219BA32A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01F98A0" w14:textId="77777777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Il Comune convoca la Conferenza di Servizi che esamina il </w:t>
            </w:r>
            <w:proofErr w:type="spellStart"/>
            <w:r w:rsidRPr="00D87EF7">
              <w:rPr>
                <w:rFonts w:cstheme="minorHAnsi"/>
                <w:b/>
                <w:bCs/>
              </w:rPr>
              <w:t>PdC</w:t>
            </w:r>
            <w:proofErr w:type="spellEnd"/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72EF795" w14:textId="77777777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nei successivi 30 gg dal ricevimento del </w:t>
            </w:r>
            <w:proofErr w:type="spellStart"/>
            <w:r w:rsidRPr="00D87EF7">
              <w:rPr>
                <w:rFonts w:cstheme="minorHAnsi"/>
                <w:b/>
                <w:bCs/>
              </w:rPr>
              <w:t>PdC</w:t>
            </w:r>
            <w:proofErr w:type="spellEnd"/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0EB4F153" w14:textId="77777777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C7E547E" w14:textId="109A68D8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FF0920" w:rsidRPr="00D87EF7" w14:paraId="21B7098F" w14:textId="2DB437C9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AF13858" w14:textId="77777777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Se la Conferenza di servizi non valuta positivamente il </w:t>
            </w:r>
            <w:proofErr w:type="spellStart"/>
            <w:r w:rsidRPr="00D87EF7">
              <w:rPr>
                <w:rFonts w:cstheme="minorHAnsi"/>
                <w:b/>
                <w:bCs/>
              </w:rPr>
              <w:t>PdC</w:t>
            </w:r>
            <w:proofErr w:type="spellEnd"/>
            <w:r w:rsidRPr="00D87EF7">
              <w:rPr>
                <w:rFonts w:cstheme="minorHAnsi"/>
                <w:b/>
                <w:bCs/>
              </w:rPr>
              <w:t>, va ripresentato e riesaminato in Conferenza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30B7FDB" w14:textId="55E61573" w:rsidR="00FF0920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//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21A63C5" w14:textId="77777777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1898F31E" w14:textId="4E9AC23C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FF0920" w:rsidRPr="00D87EF7" w14:paraId="0773C367" w14:textId="4F7DF595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5F67DF5" w14:textId="77777777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Il Comune autorizza l’esecuzione della caratterizzazione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C4ACCA9" w14:textId="632611EF" w:rsidR="00FF0920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</w:rPr>
              <w:t>//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0F11665" w14:textId="77777777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08BF6CF8" w14:textId="69724C96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FF0920" w:rsidRPr="00D87EF7" w14:paraId="1D7C5147" w14:textId="60C444E7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F1BF28C" w14:textId="4160199E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L’Impresa esegue la caratterizzazione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E34E489" w14:textId="51C9564C" w:rsidR="00FF0920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</w:rPr>
              <w:t>//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0952112" w14:textId="77777777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982D74A" w14:textId="1BF4FCDB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FF0920" w:rsidRPr="00D87EF7" w14:paraId="56C64D4C" w14:textId="28788870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546E370" w14:textId="77777777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ARPA esegue una parte della caratterizzazione in contraddittorio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B9026F0" w14:textId="2A994B2F" w:rsidR="00FF0920" w:rsidRPr="00D87EF7" w:rsidRDefault="00FF0920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0A06168C" w14:textId="77777777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162D9535" w14:textId="14227C45" w:rsidR="00FF0920" w:rsidRPr="00D87EF7" w:rsidRDefault="00FF0920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D88C2D0" w14:textId="77777777" w:rsidR="00A24B00" w:rsidRDefault="00A24B00" w:rsidP="00A24B00">
      <w:pPr>
        <w:spacing w:after="0"/>
        <w:jc w:val="center"/>
        <w:rPr>
          <w:rFonts w:cstheme="minorHAnsi"/>
          <w:b/>
          <w:bCs/>
          <w:color w:val="0000FF"/>
        </w:rPr>
        <w:sectPr w:rsidR="00A24B00" w:rsidSect="0017016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tbl>
      <w:tblPr>
        <w:tblW w:w="157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2551"/>
        <w:gridCol w:w="5443"/>
        <w:gridCol w:w="1984"/>
      </w:tblGrid>
      <w:tr w:rsidR="00ED0422" w:rsidRPr="00D87EF7" w14:paraId="04A64E8C" w14:textId="77777777" w:rsidTr="00C13260">
        <w:trPr>
          <w:trHeight w:val="624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0C9762A" w14:textId="3601C900" w:rsidR="00ED0422" w:rsidRPr="00D87EF7" w:rsidRDefault="00ED0422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lastRenderedPageBreak/>
              <w:t>ADEMPIMENTO DI LEGGE</w:t>
            </w:r>
          </w:p>
          <w:p w14:paraId="4BC6CF8C" w14:textId="77777777" w:rsidR="00ED0422" w:rsidRPr="00D87EF7" w:rsidRDefault="00ED0422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(FASE)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51500BC" w14:textId="77777777" w:rsidR="00ED0422" w:rsidRPr="00D87EF7" w:rsidRDefault="00ED0422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TEMPI PREVISTI DALLA NORMATIVA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1C9E731" w14:textId="77777777" w:rsidR="00ED0422" w:rsidRPr="00D87EF7" w:rsidRDefault="00ED0422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PROBLEMI RISCONTRATI DALL’IMPRESA</w:t>
            </w:r>
          </w:p>
          <w:p w14:paraId="29B713CD" w14:textId="77777777" w:rsidR="00ED0422" w:rsidRPr="00D87EF7" w:rsidRDefault="00ED0422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(specificare)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F7F6082" w14:textId="77777777" w:rsidR="00ED0422" w:rsidRPr="00D87EF7" w:rsidRDefault="00ED0422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UBICAZIONE CANTIERE</w:t>
            </w:r>
          </w:p>
        </w:tc>
      </w:tr>
      <w:tr w:rsidR="007B1E0F" w:rsidRPr="00D87EF7" w14:paraId="370781A5" w14:textId="77777777" w:rsidTr="00C13260">
        <w:trPr>
          <w:trHeight w:val="1020"/>
        </w:trPr>
        <w:tc>
          <w:tcPr>
            <w:tcW w:w="5726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1AFC0C9" w14:textId="75FA47D6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L’Impresa presenta gli esiti della caratterizzazione e l’Analisi di rischio (AdR) </w:t>
            </w:r>
          </w:p>
        </w:tc>
        <w:tc>
          <w:tcPr>
            <w:tcW w:w="2551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E83C3CD" w14:textId="77777777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entro i successivi 180 giorni dalla autorizzazione del </w:t>
            </w:r>
            <w:proofErr w:type="spellStart"/>
            <w:r w:rsidRPr="00D87EF7">
              <w:rPr>
                <w:rFonts w:cstheme="minorHAnsi"/>
                <w:b/>
                <w:bCs/>
              </w:rPr>
              <w:t>PdC</w:t>
            </w:r>
            <w:proofErr w:type="spellEnd"/>
          </w:p>
        </w:tc>
        <w:tc>
          <w:tcPr>
            <w:tcW w:w="544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3D46645" w14:textId="0DCE259E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6645097" w14:textId="4F98E73D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7B1E0F" w:rsidRPr="00D87EF7" w14:paraId="20559524" w14:textId="77777777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6057580" w14:textId="3BD662CE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Il Comune convoca la Conferenza di Servizi che esamina </w:t>
            </w:r>
            <w:proofErr w:type="gramStart"/>
            <w:r w:rsidRPr="00D87EF7">
              <w:rPr>
                <w:rFonts w:cstheme="minorHAnsi"/>
                <w:b/>
                <w:bCs/>
              </w:rPr>
              <w:t>ed</w:t>
            </w:r>
            <w:proofErr w:type="gramEnd"/>
            <w:r w:rsidRPr="00D87EF7">
              <w:rPr>
                <w:rFonts w:cstheme="minorHAnsi"/>
                <w:b/>
                <w:bCs/>
              </w:rPr>
              <w:t>, eventualmente, approva l’AdR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4E9D104" w14:textId="55A4FF29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entro 60 giorni dal ricevimento </w:t>
            </w:r>
            <w:proofErr w:type="spellStart"/>
            <w:r w:rsidRPr="00D87EF7">
              <w:rPr>
                <w:rFonts w:cstheme="minorHAnsi"/>
                <w:b/>
                <w:bCs/>
              </w:rPr>
              <w:t>dell’AdR</w:t>
            </w:r>
            <w:proofErr w:type="spellEnd"/>
            <w:r w:rsidRPr="00D87EF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CFFB719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9200FDF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7B1E0F" w:rsidRPr="00D87EF7" w14:paraId="5BD2BB30" w14:textId="77777777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E473F67" w14:textId="77777777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Se la Conferenza di servizi non valuta positivamente l’AdR, va ripresentata e riesaminata in Conferenza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E58042B" w14:textId="77777777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ulteriori 30 gg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4F31713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CC91443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7B1E0F" w:rsidRPr="00D87EF7" w14:paraId="6AEA0876" w14:textId="77777777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E640C8F" w14:textId="77777777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L’Impresa presenta al Comune il Progetto operativo di bonifica (POB)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F42A7E9" w14:textId="77777777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entro i successivi 180 giorni dall’approvazione </w:t>
            </w:r>
            <w:proofErr w:type="spellStart"/>
            <w:r w:rsidRPr="00D87EF7">
              <w:rPr>
                <w:rFonts w:cstheme="minorHAnsi"/>
                <w:b/>
                <w:bCs/>
              </w:rPr>
              <w:t>dell’AdR</w:t>
            </w:r>
            <w:proofErr w:type="spellEnd"/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F85998A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36031F3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7B1E0F" w:rsidRPr="00D87EF7" w14:paraId="7AF66CB6" w14:textId="77777777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F5379B3" w14:textId="5023E972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Il Comune convoca la Conferenza di Servizi che esamina il POB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07091FC" w14:textId="77777777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entro 60 giorni dal ricevimento del POB</w:t>
            </w:r>
          </w:p>
          <w:p w14:paraId="699D2EBC" w14:textId="7A70B02F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97CD2B5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4AC5700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7B1E0F" w:rsidRPr="00D87EF7" w14:paraId="454067D5" w14:textId="77777777" w:rsidTr="00C13260">
        <w:trPr>
          <w:trHeight w:val="1020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AB56F5D" w14:textId="77777777" w:rsidR="007B1E0F" w:rsidRPr="00D87EF7" w:rsidRDefault="007B1E0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Se la Conferenza di servizi non valuta positivamente il POB, va ripresentato e riesaminato in Conferenza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D7E1654" w14:textId="01AD8FC2" w:rsidR="007B1E0F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//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6A7B8A3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B6345DE" w14:textId="77777777" w:rsidR="007B1E0F" w:rsidRPr="00D87EF7" w:rsidRDefault="007B1E0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876C30" w:rsidRPr="00D87EF7" w14:paraId="6DF875A2" w14:textId="77777777" w:rsidTr="00C13260">
        <w:trPr>
          <w:trHeight w:val="1020"/>
        </w:trPr>
        <w:tc>
          <w:tcPr>
            <w:tcW w:w="572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2DC396F" w14:textId="77777777" w:rsidR="00876C30" w:rsidRPr="00D87EF7" w:rsidRDefault="00876C3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Il Comune emette l’autorizzazione alla bonifica e richiede la fidejussione (ove applicabile)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594361B" w14:textId="4C5ADBB3" w:rsidR="00876C30" w:rsidRPr="00C13260" w:rsidRDefault="00876C30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C13260">
              <w:rPr>
                <w:rFonts w:cstheme="minorHAnsi"/>
                <w:b/>
                <w:bCs/>
              </w:rPr>
              <w:t>//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881883B" w14:textId="77777777" w:rsidR="00876C30" w:rsidRPr="00D87EF7" w:rsidRDefault="00876C30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C540FE8" w14:textId="77777777" w:rsidR="00876C30" w:rsidRPr="00D87EF7" w:rsidRDefault="00876C30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876C30" w:rsidRPr="00D87EF7" w14:paraId="73ADA82D" w14:textId="77777777" w:rsidTr="00C13260">
        <w:trPr>
          <w:trHeight w:val="1020"/>
        </w:trPr>
        <w:tc>
          <w:tcPr>
            <w:tcW w:w="572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4EE2B705" w14:textId="77777777" w:rsidR="00876C30" w:rsidRPr="00D87EF7" w:rsidRDefault="00876C30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6A942357" w14:textId="77777777" w:rsidR="00876C30" w:rsidRPr="00D87EF7" w:rsidRDefault="00876C30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501CA95B" w14:textId="77777777" w:rsidR="00876C30" w:rsidRPr="00D87EF7" w:rsidRDefault="00876C30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699DF59" w14:textId="77777777" w:rsidR="00876C30" w:rsidRPr="00D87EF7" w:rsidRDefault="00876C30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</w:tbl>
    <w:p w14:paraId="567DDFDB" w14:textId="77777777" w:rsidR="00A24B00" w:rsidRDefault="00A24B00" w:rsidP="00A24B00">
      <w:pPr>
        <w:spacing w:after="0"/>
        <w:jc w:val="center"/>
        <w:rPr>
          <w:rFonts w:cstheme="minorHAnsi"/>
          <w:b/>
          <w:bCs/>
          <w:color w:val="0000FF"/>
        </w:rPr>
        <w:sectPr w:rsidR="00A24B00" w:rsidSect="0017016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tbl>
      <w:tblPr>
        <w:tblW w:w="157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2551"/>
        <w:gridCol w:w="5443"/>
        <w:gridCol w:w="1984"/>
      </w:tblGrid>
      <w:tr w:rsidR="00FF0920" w:rsidRPr="00D87EF7" w14:paraId="208420FB" w14:textId="77777777" w:rsidTr="00C13260">
        <w:trPr>
          <w:trHeight w:val="624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1FB6D4E1" w14:textId="46E4E6FA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ADEMPIMENTO DI LEGGE</w:t>
            </w:r>
          </w:p>
          <w:p w14:paraId="44117F19" w14:textId="77777777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(FASE)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6E45C73C" w14:textId="77777777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D87EF7">
              <w:rPr>
                <w:rFonts w:cstheme="minorHAnsi"/>
                <w:b/>
                <w:bCs/>
                <w:color w:val="0000FF"/>
              </w:rPr>
              <w:t>TEMPI PREVISTI DALLA NORMATIVA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05F92AE2" w14:textId="77777777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PROBLEMI RISCONTRATI DALL’IMPRESA</w:t>
            </w:r>
          </w:p>
          <w:p w14:paraId="42EECABC" w14:textId="77777777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(specificare)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5DE475B2" w14:textId="77777777" w:rsidR="00FF0920" w:rsidRPr="00D87EF7" w:rsidRDefault="00FF0920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D87EF7">
              <w:rPr>
                <w:rFonts w:cstheme="minorHAnsi"/>
                <w:b/>
                <w:bCs/>
                <w:color w:val="FF0000"/>
              </w:rPr>
              <w:t>UBICAZIONE CANTIERE</w:t>
            </w:r>
          </w:p>
        </w:tc>
      </w:tr>
      <w:tr w:rsidR="00ED0422" w:rsidRPr="00D87EF7" w14:paraId="783FE382" w14:textId="64DED805" w:rsidTr="00C13260">
        <w:trPr>
          <w:trHeight w:val="737"/>
        </w:trPr>
        <w:tc>
          <w:tcPr>
            <w:tcW w:w="5726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CDFBDCF" w14:textId="125AA7D5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L’impresa ottiene la fidejussione presso un istituto di credito oppure assicurativo </w:t>
            </w:r>
          </w:p>
        </w:tc>
        <w:tc>
          <w:tcPr>
            <w:tcW w:w="2551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E81B97E" w14:textId="7045CC48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9F99E6E" w14:textId="1172005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54122EE0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ED0422" w:rsidRPr="00D87EF7" w14:paraId="339CB7B9" w14:textId="589D3944" w:rsidTr="00C13260">
        <w:trPr>
          <w:trHeight w:val="73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607F4AD" w14:textId="1B25223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L’impresa trasmette la fidejussione e il Comune la accetta formalmente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A4273D4" w14:textId="40BAD9B2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26263D5" w14:textId="69879528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2AAC324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ED0422" w:rsidRPr="00D87EF7" w14:paraId="1F49E073" w14:textId="0C0D02F7" w:rsidTr="00C13260">
        <w:trPr>
          <w:trHeight w:val="73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020DB67" w14:textId="1EE3905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L’Impresa avvia la bonifica, comunicando con debito anticipo l’avvio lavori a tutti gli Enti</w:t>
            </w:r>
          </w:p>
          <w:p w14:paraId="478DDC87" w14:textId="6206A80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(N.B. l’impresa ha l’obbligo di iniziare la bonifica entro il </w:t>
            </w:r>
            <w:proofErr w:type="gramStart"/>
            <w:r w:rsidRPr="00D87EF7">
              <w:rPr>
                <w:rFonts w:cstheme="minorHAnsi"/>
                <w:b/>
                <w:bCs/>
              </w:rPr>
              <w:t>30esimo</w:t>
            </w:r>
            <w:proofErr w:type="gramEnd"/>
            <w:r w:rsidRPr="00D87EF7">
              <w:rPr>
                <w:rFonts w:cstheme="minorHAnsi"/>
                <w:b/>
                <w:bCs/>
              </w:rPr>
              <w:t xml:space="preserve"> giorno dal ricevimento della lettera di accettazione delle fidejussioni) 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8520647" w14:textId="683F7550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DC7A676" w14:textId="33734E1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A376AC3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ED0422" w:rsidRPr="00D87EF7" w14:paraId="11134CCA" w14:textId="68BFE845" w:rsidTr="00C13260">
        <w:trPr>
          <w:trHeight w:val="73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CF977C7" w14:textId="7777777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Collaudo ARPA 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974E6FB" w14:textId="2D8D48F1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4CE1549" w14:textId="175DDD0F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53E941B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7B199F" w:rsidRPr="00D87EF7" w14:paraId="70287F7C" w14:textId="77777777" w:rsidTr="00C13260">
        <w:trPr>
          <w:trHeight w:val="73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381039BD" w14:textId="14D81A52" w:rsidR="007B199F" w:rsidRPr="00D87EF7" w:rsidRDefault="007B199F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 Professionista redige la relazione di fine lavori da trasmettere agli Enti di Controllo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6183EBFD" w14:textId="77777777" w:rsidR="007B199F" w:rsidRPr="00D87EF7" w:rsidRDefault="007B199F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1D012B12" w14:textId="77777777" w:rsidR="007B199F" w:rsidRPr="00D87EF7" w:rsidRDefault="007B199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50DE0311" w14:textId="77777777" w:rsidR="007B199F" w:rsidRPr="00D87EF7" w:rsidRDefault="007B199F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ED0422" w:rsidRPr="00D87EF7" w14:paraId="0A89BA43" w14:textId="6CC49F01" w:rsidTr="00C13260">
        <w:trPr>
          <w:trHeight w:val="73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C75AEDC" w14:textId="545A7C83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ARPA redige la relazione tecnica</w:t>
            </w:r>
            <w:r w:rsidR="007B199F">
              <w:rPr>
                <w:rFonts w:cstheme="minorHAnsi"/>
                <w:b/>
                <w:bCs/>
              </w:rPr>
              <w:t xml:space="preserve"> ex art. 248 del D. Lgs. 152&amp;2006 e s.m.i.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9C200B8" w14:textId="607A7C54" w:rsidR="00ED0422" w:rsidRPr="00D87EF7" w:rsidRDefault="007B199F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entro 60 giorni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2A261AB" w14:textId="4F33F57F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E14E957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7B199F" w:rsidRPr="00D87EF7" w14:paraId="146EC0E0" w14:textId="77777777" w:rsidTr="00C13260">
        <w:trPr>
          <w:trHeight w:val="73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7EFADC1" w14:textId="73572305" w:rsidR="007B199F" w:rsidRPr="00D87EF7" w:rsidRDefault="007B199F" w:rsidP="00C3162D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 xml:space="preserve">Conclusa la bonifica l’Impresa </w:t>
            </w:r>
            <w:r>
              <w:rPr>
                <w:rFonts w:cstheme="minorHAnsi"/>
                <w:b/>
                <w:bCs/>
              </w:rPr>
              <w:t>presenta</w:t>
            </w:r>
            <w:r w:rsidRPr="00D87EF7">
              <w:rPr>
                <w:rFonts w:cstheme="minorHAnsi"/>
                <w:b/>
                <w:bCs/>
              </w:rPr>
              <w:t xml:space="preserve"> istanza di certificazione </w:t>
            </w:r>
            <w:r>
              <w:rPr>
                <w:rFonts w:cstheme="minorHAnsi"/>
                <w:b/>
                <w:bCs/>
              </w:rPr>
              <w:t xml:space="preserve">a Città Metropolitana di </w:t>
            </w:r>
            <w:proofErr w:type="spellStart"/>
            <w:r>
              <w:rPr>
                <w:rFonts w:cstheme="minorHAnsi"/>
                <w:b/>
                <w:bCs/>
              </w:rPr>
              <w:t>MIlano</w:t>
            </w:r>
            <w:proofErr w:type="spellEnd"/>
            <w:r w:rsidRPr="00D87EF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0E99703" w14:textId="77777777" w:rsidR="007B199F" w:rsidRPr="00D87EF7" w:rsidRDefault="007B199F" w:rsidP="00C3162D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C531606" w14:textId="77777777" w:rsidR="007B199F" w:rsidRPr="00D87EF7" w:rsidRDefault="007B199F" w:rsidP="00C3162D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5A80A60A" w14:textId="77777777" w:rsidR="007B199F" w:rsidRPr="00D87EF7" w:rsidRDefault="007B199F" w:rsidP="00C3162D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  <w:tr w:rsidR="00ED0422" w:rsidRPr="00D87EF7" w14:paraId="20B103E1" w14:textId="77AD22D2" w:rsidTr="00C13260">
        <w:trPr>
          <w:trHeight w:val="73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3FE7EA2" w14:textId="7777777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TEMPI TOTALI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54CCD10" w14:textId="395FCDD5" w:rsidR="00ED0422" w:rsidRPr="00D87EF7" w:rsidRDefault="00FA5158" w:rsidP="00D87EF7">
            <w:pPr>
              <w:shd w:val="clear" w:color="auto" w:fill="BBE0E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</w:t>
            </w:r>
            <w:r w:rsidR="00ED0422" w:rsidRPr="00D87EF7">
              <w:rPr>
                <w:rFonts w:cstheme="minorHAnsi"/>
                <w:b/>
                <w:bCs/>
              </w:rPr>
              <w:t>assimo 600 giorni</w:t>
            </w:r>
          </w:p>
          <w:p w14:paraId="7E63D233" w14:textId="7777777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(solo tempi strettamente procedimentali, senza rifacimenti e senza i tempi di esecuzione di indagini e dei lavori di bonifica)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CD7DFCA" w14:textId="06F64CB6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81DCEF8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</w:tbl>
    <w:p w14:paraId="2E50E40E" w14:textId="77777777" w:rsidR="00C13260" w:rsidRDefault="00C13260" w:rsidP="00D87EF7">
      <w:pPr>
        <w:shd w:val="clear" w:color="auto" w:fill="FFFFFF" w:themeFill="background1"/>
        <w:spacing w:after="0"/>
        <w:jc w:val="center"/>
        <w:rPr>
          <w:rFonts w:cstheme="minorHAnsi"/>
          <w:b/>
          <w:bCs/>
          <w:highlight w:val="yellow"/>
        </w:rPr>
        <w:sectPr w:rsidR="00C13260" w:rsidSect="0017016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1AD894FE" w14:textId="4888FC1B" w:rsidR="007B1E0F" w:rsidRPr="00D87EF7" w:rsidRDefault="007B1E0F" w:rsidP="00D87EF7">
      <w:pPr>
        <w:shd w:val="clear" w:color="auto" w:fill="FFFFFF" w:themeFill="background1"/>
        <w:spacing w:after="0"/>
        <w:jc w:val="center"/>
        <w:rPr>
          <w:rFonts w:cstheme="minorHAnsi"/>
        </w:rPr>
      </w:pPr>
      <w:r w:rsidRPr="00D87EF7">
        <w:rPr>
          <w:rFonts w:cstheme="minorHAnsi"/>
          <w:b/>
          <w:bCs/>
          <w:highlight w:val="yellow"/>
        </w:rPr>
        <w:t xml:space="preserve">PROCEDURA SEMPLIFICATA PER LE OPERAZIONI DI BONIFICA </w:t>
      </w:r>
      <w:r w:rsidRPr="00D87EF7">
        <w:rPr>
          <w:rFonts w:cstheme="minorHAnsi"/>
          <w:highlight w:val="yellow"/>
        </w:rPr>
        <w:t xml:space="preserve">(art. 242-bis </w:t>
      </w:r>
      <w:proofErr w:type="spellStart"/>
      <w:r w:rsidRPr="00D87EF7">
        <w:rPr>
          <w:rFonts w:cstheme="minorHAnsi"/>
          <w:highlight w:val="yellow"/>
        </w:rPr>
        <w:t>D.Lgs</w:t>
      </w:r>
      <w:proofErr w:type="spellEnd"/>
      <w:r w:rsidRPr="00D87EF7">
        <w:rPr>
          <w:rFonts w:cstheme="minorHAnsi"/>
          <w:highlight w:val="yellow"/>
        </w:rPr>
        <w:t xml:space="preserve"> 152/06 e </w:t>
      </w:r>
      <w:proofErr w:type="spellStart"/>
      <w:r w:rsidRPr="00D87EF7">
        <w:rPr>
          <w:rFonts w:cstheme="minorHAnsi"/>
          <w:highlight w:val="yellow"/>
        </w:rPr>
        <w:t>s.m.i.</w:t>
      </w:r>
      <w:proofErr w:type="spellEnd"/>
      <w:r w:rsidRPr="00D87EF7">
        <w:rPr>
          <w:rFonts w:cstheme="minorHAnsi"/>
          <w:highlight w:val="yellow"/>
        </w:rPr>
        <w:t>)</w:t>
      </w:r>
    </w:p>
    <w:p w14:paraId="0D15DC1C" w14:textId="77777777" w:rsidR="00800E50" w:rsidRPr="00D87EF7" w:rsidRDefault="00800E50" w:rsidP="00D87EF7">
      <w:pPr>
        <w:shd w:val="clear" w:color="auto" w:fill="FFFFFF" w:themeFill="background1"/>
        <w:spacing w:after="0"/>
        <w:jc w:val="both"/>
        <w:rPr>
          <w:rFonts w:cstheme="minorHAnsi"/>
        </w:rPr>
      </w:pPr>
    </w:p>
    <w:tbl>
      <w:tblPr>
        <w:tblW w:w="157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26"/>
        <w:gridCol w:w="2551"/>
        <w:gridCol w:w="5443"/>
        <w:gridCol w:w="1984"/>
      </w:tblGrid>
      <w:tr w:rsidR="00855EEE" w:rsidRPr="00170161" w14:paraId="75C27FFD" w14:textId="77777777" w:rsidTr="00C13260">
        <w:trPr>
          <w:trHeight w:val="624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13E01" w14:textId="77777777" w:rsidR="00855EEE" w:rsidRPr="00170161" w:rsidRDefault="00855EEE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170161">
              <w:rPr>
                <w:rFonts w:cstheme="minorHAnsi"/>
                <w:b/>
                <w:bCs/>
                <w:color w:val="0000FF"/>
              </w:rPr>
              <w:t>ADEMPIMENTO DI LEGGE</w:t>
            </w:r>
          </w:p>
          <w:p w14:paraId="5DA4896C" w14:textId="77777777" w:rsidR="00855EEE" w:rsidRPr="00170161" w:rsidRDefault="00855EEE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170161">
              <w:rPr>
                <w:rFonts w:cstheme="minorHAnsi"/>
                <w:b/>
                <w:bCs/>
                <w:color w:val="0000FF"/>
              </w:rPr>
              <w:t>(FASE)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8E501" w14:textId="77777777" w:rsidR="00855EEE" w:rsidRPr="00170161" w:rsidRDefault="00855EEE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170161">
              <w:rPr>
                <w:rFonts w:cstheme="minorHAnsi"/>
                <w:b/>
                <w:bCs/>
                <w:color w:val="0000FF"/>
              </w:rPr>
              <w:t>TEMPI PREVISTI DALLA NORMATIVA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DB618FF" w14:textId="77777777" w:rsidR="00855EEE" w:rsidRPr="00170161" w:rsidRDefault="00855EEE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170161">
              <w:rPr>
                <w:rFonts w:cstheme="minorHAnsi"/>
                <w:b/>
                <w:bCs/>
                <w:color w:val="FF0000"/>
              </w:rPr>
              <w:t>PROBLEMI RISCONTRATI DALL’IMPRESA</w:t>
            </w:r>
          </w:p>
          <w:p w14:paraId="4DE9F356" w14:textId="77777777" w:rsidR="00855EEE" w:rsidRPr="00170161" w:rsidRDefault="00855EEE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170161">
              <w:rPr>
                <w:rFonts w:cstheme="minorHAnsi"/>
                <w:b/>
                <w:bCs/>
                <w:color w:val="FF0000"/>
              </w:rPr>
              <w:t>(specificare)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328F818" w14:textId="77777777" w:rsidR="00855EEE" w:rsidRPr="00170161" w:rsidRDefault="00855EEE" w:rsidP="00D87EF7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170161">
              <w:rPr>
                <w:rFonts w:cstheme="minorHAnsi"/>
                <w:b/>
                <w:bCs/>
                <w:color w:val="FF0000"/>
              </w:rPr>
              <w:t>UBICAZIONE CANTIERE</w:t>
            </w:r>
          </w:p>
        </w:tc>
      </w:tr>
      <w:tr w:rsidR="007B199F" w:rsidRPr="00170161" w14:paraId="0299C90A" w14:textId="77777777" w:rsidTr="00C13260">
        <w:trPr>
          <w:trHeight w:hRule="exact" w:val="1871"/>
        </w:trPr>
        <w:tc>
          <w:tcPr>
            <w:tcW w:w="5726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494AD" w14:textId="0DEFB3E0" w:rsidR="007B199F" w:rsidRPr="00CC5FF8" w:rsidRDefault="007B199F" w:rsidP="00CC5FF8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CC5FF8">
              <w:rPr>
                <w:rFonts w:cstheme="minorHAnsi"/>
                <w:b/>
                <w:bCs/>
              </w:rPr>
              <w:t>Verifi</w:t>
            </w:r>
            <w:r>
              <w:rPr>
                <w:rFonts w:cstheme="minorHAnsi"/>
                <w:b/>
                <w:bCs/>
              </w:rPr>
              <w:t xml:space="preserve">cato il superamento delle CSC di riferimento, viene presentato il progetto di bonifica in procedura semplificata ex art 242bis del D. Lgs. 152/2006 e </w:t>
            </w:r>
            <w:proofErr w:type="spellStart"/>
            <w:r>
              <w:rPr>
                <w:rFonts w:cstheme="minorHAnsi"/>
                <w:b/>
                <w:bCs/>
              </w:rPr>
              <w:t>s.</w:t>
            </w:r>
            <w:proofErr w:type="gramStart"/>
            <w:r>
              <w:rPr>
                <w:rFonts w:cstheme="minorHAnsi"/>
                <w:b/>
                <w:bCs/>
              </w:rPr>
              <w:t>m.i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87BFF" w14:textId="7771B43D" w:rsidR="007B199F" w:rsidRPr="00CC5FF8" w:rsidRDefault="007B199F" w:rsidP="00CC5FF8">
            <w:pPr>
              <w:shd w:val="clear" w:color="auto" w:fill="BBE0E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 rilascio atti assenso Conferenza dei Servizi entro 30 gg, comunque entro 90 gg viene comunque adottata la determina conclusiva</w:t>
            </w:r>
          </w:p>
        </w:tc>
        <w:tc>
          <w:tcPr>
            <w:tcW w:w="5443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DC9ECF5" w14:textId="77777777" w:rsidR="007B199F" w:rsidRPr="00CC5FF8" w:rsidRDefault="007B199F" w:rsidP="00CC5FF8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06944EA5" w14:textId="77777777" w:rsidR="007B199F" w:rsidRPr="00CC5FF8" w:rsidRDefault="007B199F" w:rsidP="00CC5FF8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</w:tr>
      <w:tr w:rsidR="007B199F" w:rsidRPr="00170161" w14:paraId="6C10AB09" w14:textId="77777777" w:rsidTr="00C13260">
        <w:trPr>
          <w:trHeight w:hRule="exact" w:val="964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A2FAF7" w14:textId="52EDE75F" w:rsidR="007B199F" w:rsidRP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7B199F">
              <w:rPr>
                <w:rFonts w:cstheme="minorHAnsi"/>
                <w:b/>
                <w:bCs/>
              </w:rPr>
              <w:t>Ultimati gli interventi di bonifica, l'interessato presenta il piano di caratterizzazione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2CDB0" w14:textId="02275CE5" w:rsidR="007B199F" w:rsidRP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 documento viene autorizzato nei 45 giorni successivi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C19D1B8" w14:textId="77777777" w:rsidR="007B199F" w:rsidRP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058F788F" w14:textId="77777777" w:rsidR="007B199F" w:rsidRP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</w:tr>
      <w:tr w:rsidR="007B199F" w:rsidRPr="00170161" w14:paraId="4F4F47B3" w14:textId="77777777" w:rsidTr="00C13260">
        <w:trPr>
          <w:trHeight w:hRule="exact" w:val="1247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E162D" w14:textId="73B8A0AD" w:rsidR="007B199F" w:rsidRP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Viene eseguita la caratterizzazione (c.d. collaudo) in contraddittorio con ARPA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57D77" w14:textId="4CCBE274" w:rsid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7B199F">
              <w:rPr>
                <w:rFonts w:cstheme="minorHAnsi"/>
                <w:b/>
                <w:bCs/>
              </w:rPr>
              <w:t>ARPA procede alla validazione dei dati e ne dà comunicazione entro quarantacinque giorni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C2AEBC9" w14:textId="77777777" w:rsidR="007B199F" w:rsidRP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5A468A4" w14:textId="77777777" w:rsidR="007B199F" w:rsidRPr="007B199F" w:rsidRDefault="007B199F" w:rsidP="007B199F">
            <w:pPr>
              <w:shd w:val="clear" w:color="auto" w:fill="BBE0E3"/>
              <w:rPr>
                <w:rFonts w:cstheme="minorHAnsi"/>
                <w:b/>
                <w:bCs/>
              </w:rPr>
            </w:pPr>
          </w:p>
        </w:tc>
      </w:tr>
      <w:tr w:rsidR="00ED0422" w:rsidRPr="00D87EF7" w14:paraId="015ACE8E" w14:textId="63E3C8C1" w:rsidTr="00A24B00">
        <w:trPr>
          <w:trHeight w:hRule="exact" w:val="1531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D5837" w14:textId="5B3E5F19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Se i risultati del campionamento di collaudo finale dimostrano che non sono stati conseguiti i valori di CSC nella matrice suolo, ARPA comunica le difformità riscontrate all'autorità titolare del procedimento di bonifica e al soggetto interessato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E05A0" w14:textId="7777777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BB72ACF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4996E1A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A24B00" w:rsidRPr="00D87EF7" w14:paraId="6580C3C8" w14:textId="77777777" w:rsidTr="00A24B00">
        <w:trPr>
          <w:trHeight w:hRule="exact" w:val="964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540C6" w14:textId="0EA94C3B" w:rsidR="00A24B00" w:rsidRPr="00D87EF7" w:rsidRDefault="00A24B00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D87EF7">
              <w:rPr>
                <w:rFonts w:cstheme="minorHAnsi"/>
                <w:b/>
                <w:bCs/>
              </w:rPr>
              <w:t>Il soggetto interessato deve presentare le necessarie integrazioni al progetto di bonifica che è istruito nel rispetto delle procedure ordinarie (art. 242)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2E491" w14:textId="696621B0" w:rsidR="00A24B00" w:rsidRPr="00D87EF7" w:rsidRDefault="00A24B00" w:rsidP="00D87EF7">
            <w:pPr>
              <w:shd w:val="clear" w:color="auto" w:fill="BBE0E3"/>
              <w:rPr>
                <w:rFonts w:cstheme="minorHAnsi"/>
              </w:rPr>
            </w:pPr>
            <w:r w:rsidRPr="00D87EF7">
              <w:rPr>
                <w:rFonts w:cstheme="minorHAnsi"/>
                <w:b/>
                <w:bCs/>
              </w:rPr>
              <w:t>entro i successivi 45 giorni</w:t>
            </w:r>
          </w:p>
        </w:tc>
        <w:tc>
          <w:tcPr>
            <w:tcW w:w="5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76E75315" w14:textId="77777777" w:rsidR="00A24B00" w:rsidRPr="00D87EF7" w:rsidRDefault="00A24B00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236B469D" w14:textId="77777777" w:rsidR="00A24B00" w:rsidRPr="00D87EF7" w:rsidRDefault="00A24B00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ED0422" w:rsidRPr="00D87EF7" w14:paraId="3C672C3E" w14:textId="7D21BB0D" w:rsidTr="00A24B00">
        <w:trPr>
          <w:trHeight w:hRule="exact" w:val="737"/>
        </w:trPr>
        <w:tc>
          <w:tcPr>
            <w:tcW w:w="57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2C1C8" w14:textId="07526937" w:rsidR="00ED0422" w:rsidRPr="00D87EF7" w:rsidRDefault="00A24B00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D87EF7">
              <w:rPr>
                <w:rFonts w:cstheme="minorHAnsi"/>
                <w:b/>
                <w:bCs/>
              </w:rPr>
              <w:t>Bonifica in procedura ordinaria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0BEDE" w14:textId="4E02B11F" w:rsidR="00ED0422" w:rsidRPr="00D87EF7" w:rsidRDefault="00A24B00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D87EF7">
              <w:rPr>
                <w:rFonts w:cstheme="minorHAnsi"/>
                <w:b/>
                <w:bCs/>
              </w:rPr>
              <w:t>tempistica di cui all’art. 242</w:t>
            </w:r>
          </w:p>
        </w:tc>
        <w:tc>
          <w:tcPr>
            <w:tcW w:w="54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</w:tcPr>
          <w:p w14:paraId="007CE7B7" w14:textId="35B83211" w:rsidR="00A24B00" w:rsidRPr="00A24B00" w:rsidRDefault="00A24B00" w:rsidP="00A24B00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</w:tcPr>
          <w:p w14:paraId="1211D93D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  <w:tr w:rsidR="00ED0422" w:rsidRPr="00D87EF7" w14:paraId="3C898847" w14:textId="6B10DF99" w:rsidTr="00A24B00">
        <w:trPr>
          <w:trHeight w:hRule="exact" w:val="1531"/>
        </w:trPr>
        <w:tc>
          <w:tcPr>
            <w:tcW w:w="57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43013A" w14:textId="6B83D6DA" w:rsidR="00ED0422" w:rsidRPr="00D87EF7" w:rsidRDefault="00ED0422" w:rsidP="00D87EF7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D87EF7">
              <w:rPr>
                <w:rFonts w:cstheme="minorHAnsi"/>
                <w:b/>
                <w:bCs/>
              </w:rPr>
              <w:t>Conseguiti i valori di CSC, il sito può essere utilizzato in conformità alla destinazione d'uso prevista secondo gli strumenti urbanistici</w:t>
            </w:r>
            <w:r w:rsidR="00895867" w:rsidRPr="00D87EF7">
              <w:rPr>
                <w:rFonts w:cstheme="minorHAnsi"/>
                <w:b/>
                <w:bCs/>
              </w:rPr>
              <w:t xml:space="preserve"> </w:t>
            </w:r>
            <w:r w:rsidRPr="00D87EF7">
              <w:rPr>
                <w:rFonts w:cstheme="minorHAnsi"/>
                <w:b/>
                <w:bCs/>
              </w:rPr>
              <w:t>vigenti, salva la valutazione di eventuali rischi sanitari per i fruitori del sito derivanti dai contaminanti volatili presenti nelle acque di falda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2F9E4" w14:textId="77777777" w:rsidR="00ED0422" w:rsidRPr="00D87EF7" w:rsidRDefault="00ED0422" w:rsidP="00D87EF7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</w:tcPr>
          <w:p w14:paraId="56AB03B4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BE0E3"/>
          </w:tcPr>
          <w:p w14:paraId="015ED5AA" w14:textId="77777777" w:rsidR="00ED0422" w:rsidRPr="00D87EF7" w:rsidRDefault="00ED0422" w:rsidP="00D87EF7">
            <w:pPr>
              <w:shd w:val="clear" w:color="auto" w:fill="BBE0E3"/>
              <w:jc w:val="both"/>
              <w:rPr>
                <w:rFonts w:cstheme="minorHAnsi"/>
              </w:rPr>
            </w:pPr>
          </w:p>
        </w:tc>
      </w:tr>
    </w:tbl>
    <w:p w14:paraId="01C44491" w14:textId="77777777" w:rsidR="00A24B00" w:rsidRDefault="00A24B00" w:rsidP="00D41860">
      <w:pPr>
        <w:spacing w:after="0"/>
        <w:jc w:val="center"/>
        <w:rPr>
          <w:rFonts w:cstheme="minorHAnsi"/>
          <w:b/>
          <w:bCs/>
          <w:highlight w:val="yellow"/>
        </w:rPr>
        <w:sectPr w:rsidR="00A24B00" w:rsidSect="00C13260">
          <w:pgSz w:w="16838" w:h="11906" w:orient="landscape"/>
          <w:pgMar w:top="851" w:right="567" w:bottom="284" w:left="567" w:header="709" w:footer="709" w:gutter="0"/>
          <w:cols w:space="708"/>
          <w:docGrid w:linePitch="360"/>
        </w:sectPr>
      </w:pPr>
    </w:p>
    <w:p w14:paraId="5082E9BB" w14:textId="08495EBE" w:rsidR="00D41860" w:rsidRPr="00D87EF7" w:rsidRDefault="00D41860" w:rsidP="00A24B00">
      <w:pPr>
        <w:spacing w:after="0"/>
        <w:jc w:val="center"/>
        <w:rPr>
          <w:rFonts w:cstheme="minorHAnsi"/>
        </w:rPr>
      </w:pPr>
      <w:r w:rsidRPr="00CC5FF8">
        <w:rPr>
          <w:rFonts w:cstheme="minorHAnsi"/>
          <w:b/>
          <w:bCs/>
          <w:highlight w:val="yellow"/>
        </w:rPr>
        <w:t>DISCREPANZE ANALITICHE TRA LABORATORIO PROVATO E ARPA</w:t>
      </w:r>
    </w:p>
    <w:p w14:paraId="494D9E2D" w14:textId="77777777" w:rsidR="00D41860" w:rsidRPr="00D87EF7" w:rsidRDefault="00D41860" w:rsidP="00D41860">
      <w:pPr>
        <w:spacing w:after="0"/>
        <w:jc w:val="both"/>
        <w:rPr>
          <w:rFonts w:cstheme="minorHAnsi"/>
        </w:rPr>
      </w:pPr>
    </w:p>
    <w:tbl>
      <w:tblPr>
        <w:tblW w:w="157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6"/>
        <w:gridCol w:w="2268"/>
        <w:gridCol w:w="3767"/>
        <w:gridCol w:w="3944"/>
      </w:tblGrid>
      <w:tr w:rsidR="00D41860" w:rsidRPr="00D87EF7" w14:paraId="597BE1AC" w14:textId="77777777" w:rsidTr="00A24B00">
        <w:trPr>
          <w:trHeight w:hRule="exact" w:val="964"/>
        </w:trPr>
        <w:tc>
          <w:tcPr>
            <w:tcW w:w="5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722AB92" w14:textId="2293B534" w:rsidR="00D41860" w:rsidRPr="00A24B00" w:rsidRDefault="007A3058" w:rsidP="00A24B00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>
              <w:rPr>
                <w:rFonts w:cstheme="minorHAnsi"/>
                <w:b/>
                <w:bCs/>
                <w:color w:val="0000FF"/>
              </w:rPr>
              <w:t>PROBLEMATICHE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DC1ECCD" w14:textId="77777777" w:rsidR="00A24B00" w:rsidRDefault="007A3058" w:rsidP="00A24B00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>
              <w:rPr>
                <w:rFonts w:cstheme="minorHAnsi"/>
                <w:b/>
                <w:bCs/>
                <w:color w:val="0000FF"/>
              </w:rPr>
              <w:t>LABORATORIO DI PARTE CERTIFICATO</w:t>
            </w:r>
          </w:p>
          <w:p w14:paraId="281CB4A4" w14:textId="3DFF147E" w:rsidR="00D41860" w:rsidRPr="00A24B00" w:rsidRDefault="007A3058" w:rsidP="00A24B00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>
              <w:rPr>
                <w:rFonts w:cstheme="minorHAnsi"/>
                <w:b/>
                <w:bCs/>
                <w:color w:val="0000FF"/>
              </w:rPr>
              <w:t xml:space="preserve">(Sì o No) </w:t>
            </w:r>
          </w:p>
        </w:tc>
        <w:tc>
          <w:tcPr>
            <w:tcW w:w="3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77D99BC" w14:textId="77777777" w:rsidR="007A3058" w:rsidRPr="00A24B00" w:rsidRDefault="007A3058" w:rsidP="00A24B00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A24B00">
              <w:rPr>
                <w:rFonts w:cstheme="minorHAnsi"/>
                <w:b/>
                <w:bCs/>
                <w:color w:val="FF0000"/>
              </w:rPr>
              <w:t>Analita e valore laboratorio di parte</w:t>
            </w:r>
          </w:p>
          <w:p w14:paraId="7E8227DF" w14:textId="68E7964B" w:rsidR="00D41860" w:rsidRPr="00A24B00" w:rsidRDefault="007A3058" w:rsidP="00A24B00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A24B00">
              <w:rPr>
                <w:rFonts w:cstheme="minorHAnsi"/>
                <w:b/>
                <w:bCs/>
                <w:color w:val="FF0000"/>
              </w:rPr>
              <w:t xml:space="preserve"> (in mg7kg)</w:t>
            </w:r>
          </w:p>
        </w:tc>
        <w:tc>
          <w:tcPr>
            <w:tcW w:w="3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49D35692" w14:textId="4855D333" w:rsidR="007A3058" w:rsidRPr="00A24B00" w:rsidRDefault="007A3058" w:rsidP="00A24B00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A24B00">
              <w:rPr>
                <w:rFonts w:cstheme="minorHAnsi"/>
                <w:b/>
                <w:bCs/>
                <w:color w:val="FF0000"/>
              </w:rPr>
              <w:t>Analita e valore laboratorio ARPA</w:t>
            </w:r>
          </w:p>
          <w:p w14:paraId="61E99812" w14:textId="4BAD00F8" w:rsidR="00D41860" w:rsidRPr="00A24B00" w:rsidRDefault="007A3058" w:rsidP="00A24B00">
            <w:pPr>
              <w:shd w:val="clear" w:color="auto" w:fill="BBE0E3"/>
              <w:spacing w:after="0"/>
              <w:jc w:val="center"/>
              <w:rPr>
                <w:rFonts w:cstheme="minorHAnsi"/>
                <w:b/>
                <w:bCs/>
                <w:color w:val="0000FF"/>
              </w:rPr>
            </w:pPr>
            <w:r w:rsidRPr="00A24B00">
              <w:rPr>
                <w:rFonts w:cstheme="minorHAnsi"/>
                <w:b/>
                <w:bCs/>
                <w:color w:val="FF0000"/>
              </w:rPr>
              <w:t xml:space="preserve"> (in mg7kg)</w:t>
            </w:r>
          </w:p>
        </w:tc>
      </w:tr>
      <w:tr w:rsidR="00D41860" w:rsidRPr="00D87EF7" w14:paraId="49FDFB70" w14:textId="77777777" w:rsidTr="00A24B00">
        <w:trPr>
          <w:trHeight w:val="1757"/>
        </w:trPr>
        <w:tc>
          <w:tcPr>
            <w:tcW w:w="5726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08D7C59" w14:textId="4A1B36A9" w:rsidR="00D41860" w:rsidRPr="00A24B00" w:rsidRDefault="007A3058" w:rsidP="00DF02AA">
            <w:pPr>
              <w:shd w:val="clear" w:color="auto" w:fill="BBE0E3"/>
              <w:rPr>
                <w:rFonts w:cstheme="minorHAnsi"/>
                <w:b/>
                <w:bCs/>
              </w:rPr>
            </w:pPr>
            <w:r w:rsidRPr="00A24B00">
              <w:rPr>
                <w:rFonts w:cstheme="minorHAnsi"/>
                <w:b/>
                <w:bCs/>
              </w:rPr>
              <w:t>Cantiere con breve descrizione contesto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4EE81548" w14:textId="110CD4E7" w:rsidR="00D41860" w:rsidRPr="00D87EF7" w:rsidRDefault="00D41860" w:rsidP="00DF02AA">
            <w:pPr>
              <w:shd w:val="clear" w:color="auto" w:fill="BBE0E3"/>
              <w:rPr>
                <w:rFonts w:cstheme="minorHAnsi"/>
              </w:rPr>
            </w:pPr>
          </w:p>
        </w:tc>
        <w:tc>
          <w:tcPr>
            <w:tcW w:w="3767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388558C7" w14:textId="77777777" w:rsidR="00D41860" w:rsidRPr="00D87EF7" w:rsidRDefault="00D41860" w:rsidP="00DF02AA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44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BE0E3"/>
          </w:tcPr>
          <w:p w14:paraId="6EABA5A1" w14:textId="77777777" w:rsidR="00D41860" w:rsidRPr="00D87EF7" w:rsidRDefault="00D41860" w:rsidP="00DF02AA">
            <w:pPr>
              <w:shd w:val="clear" w:color="auto" w:fill="BBE0E3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27EAB6B" w14:textId="77777777" w:rsidR="00D41860" w:rsidRPr="00D87EF7" w:rsidRDefault="00D41860" w:rsidP="00D87EF7">
      <w:pPr>
        <w:jc w:val="both"/>
        <w:rPr>
          <w:rFonts w:cstheme="minorHAnsi"/>
        </w:rPr>
      </w:pPr>
    </w:p>
    <w:sectPr w:rsidR="00D41860" w:rsidRPr="00D87EF7" w:rsidSect="00A24B0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A5"/>
    <w:rsid w:val="000A5058"/>
    <w:rsid w:val="000F24F0"/>
    <w:rsid w:val="00170161"/>
    <w:rsid w:val="00771185"/>
    <w:rsid w:val="007A3058"/>
    <w:rsid w:val="007B199F"/>
    <w:rsid w:val="007B1E0F"/>
    <w:rsid w:val="00800E50"/>
    <w:rsid w:val="00855EEE"/>
    <w:rsid w:val="00876C30"/>
    <w:rsid w:val="00895867"/>
    <w:rsid w:val="00A24B00"/>
    <w:rsid w:val="00BF645D"/>
    <w:rsid w:val="00C13260"/>
    <w:rsid w:val="00CC5FF8"/>
    <w:rsid w:val="00D41860"/>
    <w:rsid w:val="00D87EF7"/>
    <w:rsid w:val="00E32AEB"/>
    <w:rsid w:val="00ED0422"/>
    <w:rsid w:val="00F53AA5"/>
    <w:rsid w:val="00FA5158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6E71"/>
  <w15:chartTrackingRefBased/>
  <w15:docId w15:val="{62CCE08B-8E48-496E-BB7D-41A81C3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EE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B1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E607-7A3E-4EDA-8E48-3905547E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Caporali Roberto</dc:creator>
  <cp:keywords/>
  <dc:description/>
  <cp:lastModifiedBy>Assimpredil Ance</cp:lastModifiedBy>
  <cp:revision>2</cp:revision>
  <cp:lastPrinted>2021-09-27T13:00:00Z</cp:lastPrinted>
  <dcterms:created xsi:type="dcterms:W3CDTF">2021-10-06T13:40:00Z</dcterms:created>
  <dcterms:modified xsi:type="dcterms:W3CDTF">2021-10-06T13:40:00Z</dcterms:modified>
</cp:coreProperties>
</file>